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65C" w:rsidRDefault="003F165C" w:rsidP="0069693E">
      <w:pPr>
        <w:pStyle w:val="NoSpacing"/>
        <w:pBdr>
          <w:bottom w:val="single" w:sz="12" w:space="1" w:color="FFC000"/>
        </w:pBdr>
        <w:rPr>
          <w:rFonts w:asciiTheme="majorHAnsi" w:hAnsiTheme="majorHAnsi" w:cs="Arial"/>
          <w:color w:val="17365D" w:themeColor="text2" w:themeShade="BF"/>
          <w:sz w:val="52"/>
          <w:szCs w:val="52"/>
        </w:rPr>
      </w:pPr>
      <w:r>
        <w:rPr>
          <w:rFonts w:asciiTheme="majorHAnsi" w:hAnsiTheme="majorHAnsi" w:cs="Arial"/>
          <w:noProof/>
          <w:color w:val="17365D" w:themeColor="text2" w:themeShade="BF"/>
          <w:sz w:val="52"/>
          <w:szCs w:val="52"/>
        </w:rPr>
        <w:drawing>
          <wp:inline distT="0" distB="0" distL="0" distR="0" wp14:anchorId="4D8929AA" wp14:editId="221046FC">
            <wp:extent cx="355282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790575"/>
                    </a:xfrm>
                    <a:prstGeom prst="rect">
                      <a:avLst/>
                    </a:prstGeom>
                    <a:noFill/>
                    <a:ln>
                      <a:noFill/>
                    </a:ln>
                  </pic:spPr>
                </pic:pic>
              </a:graphicData>
            </a:graphic>
          </wp:inline>
        </w:drawing>
      </w:r>
    </w:p>
    <w:p w:rsidR="001648F0" w:rsidRPr="0069693E" w:rsidRDefault="0073406A" w:rsidP="0069693E">
      <w:pPr>
        <w:pStyle w:val="NoSpacing"/>
        <w:pBdr>
          <w:bottom w:val="single" w:sz="12" w:space="1" w:color="FFC000"/>
        </w:pBdr>
        <w:rPr>
          <w:rFonts w:asciiTheme="majorHAnsi" w:hAnsiTheme="majorHAnsi" w:cs="Arial"/>
          <w:color w:val="17365D" w:themeColor="text2" w:themeShade="BF"/>
          <w:sz w:val="52"/>
          <w:szCs w:val="52"/>
        </w:rPr>
      </w:pPr>
      <w:r w:rsidRPr="0069693E">
        <w:rPr>
          <w:rFonts w:asciiTheme="majorHAnsi" w:hAnsiTheme="majorHAnsi" w:cs="Arial"/>
          <w:color w:val="17365D" w:themeColor="text2" w:themeShade="BF"/>
          <w:sz w:val="52"/>
          <w:szCs w:val="52"/>
        </w:rPr>
        <w:t>SOP: W</w:t>
      </w:r>
      <w:r w:rsidR="001648F0" w:rsidRPr="0069693E">
        <w:rPr>
          <w:rFonts w:asciiTheme="majorHAnsi" w:hAnsiTheme="majorHAnsi" w:cs="Arial"/>
          <w:color w:val="17365D" w:themeColor="text2" w:themeShade="BF"/>
          <w:sz w:val="52"/>
          <w:szCs w:val="52"/>
        </w:rPr>
        <w:t xml:space="preserve">orking with </w:t>
      </w:r>
      <w:r w:rsidR="00887278" w:rsidRPr="0069693E">
        <w:rPr>
          <w:rFonts w:asciiTheme="majorHAnsi" w:hAnsiTheme="majorHAnsi" w:cs="Arial"/>
          <w:color w:val="17365D" w:themeColor="text2" w:themeShade="BF"/>
          <w:sz w:val="52"/>
          <w:szCs w:val="52"/>
        </w:rPr>
        <w:t>Retro</w:t>
      </w:r>
      <w:r w:rsidR="001648F0" w:rsidRPr="0069693E">
        <w:rPr>
          <w:rFonts w:asciiTheme="majorHAnsi" w:hAnsiTheme="majorHAnsi" w:cs="Arial"/>
          <w:iCs/>
          <w:color w:val="17365D" w:themeColor="text2" w:themeShade="BF"/>
          <w:sz w:val="52"/>
          <w:szCs w:val="52"/>
        </w:rPr>
        <w:t xml:space="preserve">viral </w:t>
      </w:r>
      <w:r w:rsidR="001648F0" w:rsidRPr="0069693E">
        <w:rPr>
          <w:rFonts w:asciiTheme="majorHAnsi" w:hAnsiTheme="majorHAnsi" w:cs="Arial"/>
          <w:color w:val="17365D" w:themeColor="text2" w:themeShade="BF"/>
          <w:sz w:val="52"/>
          <w:szCs w:val="52"/>
        </w:rPr>
        <w:t>Vectors</w:t>
      </w:r>
    </w:p>
    <w:p w:rsidR="001648F0" w:rsidRDefault="001648F0" w:rsidP="0069693E">
      <w:pPr>
        <w:pStyle w:val="NoSpacing"/>
        <w:rPr>
          <w:rFonts w:ascii="Arial" w:hAnsi="Arial" w:cs="Arial"/>
        </w:rPr>
      </w:pPr>
    </w:p>
    <w:p w:rsidR="004F698A" w:rsidRPr="005F20DC" w:rsidRDefault="00CD4463" w:rsidP="004F698A">
      <w:pPr>
        <w:pStyle w:val="NoSpacing"/>
        <w:rPr>
          <w:rFonts w:ascii="Arial" w:hAnsi="Arial" w:cs="Arial"/>
          <w:i/>
          <w:sz w:val="18"/>
          <w:szCs w:val="18"/>
        </w:rPr>
      </w:pPr>
      <w:r w:rsidRPr="00E84DED">
        <w:rPr>
          <w:rFonts w:ascii="Arial" w:hAnsi="Arial" w:cs="Arial"/>
          <w:i/>
          <w:sz w:val="18"/>
          <w:szCs w:val="18"/>
        </w:rPr>
        <w:t xml:space="preserve">All labs working with </w:t>
      </w:r>
      <w:r w:rsidR="00887278">
        <w:rPr>
          <w:rFonts w:ascii="Arial" w:hAnsi="Arial" w:cs="Arial"/>
          <w:i/>
          <w:sz w:val="18"/>
          <w:szCs w:val="18"/>
        </w:rPr>
        <w:t>retroviral</w:t>
      </w:r>
      <w:r w:rsidRPr="00E84DED">
        <w:rPr>
          <w:rFonts w:ascii="Arial" w:hAnsi="Arial" w:cs="Arial"/>
          <w:i/>
          <w:sz w:val="18"/>
          <w:szCs w:val="18"/>
        </w:rPr>
        <w:t xml:space="preserve"> vector must have blood borne pathogens exposure control plan (BBP-ECP) as required by California/OSHA blood borne pathogen standard 8CCR Sec. 5193 </w:t>
      </w:r>
      <w:hyperlink r:id="rId8" w:history="1">
        <w:r w:rsidRPr="00E84DED">
          <w:rPr>
            <w:rStyle w:val="Hyperlink"/>
            <w:rFonts w:ascii="Arial" w:hAnsi="Arial" w:cs="Arial"/>
            <w:b/>
            <w:bCs/>
            <w:i/>
            <w:color w:val="auto"/>
            <w:sz w:val="18"/>
            <w:szCs w:val="18"/>
          </w:rPr>
          <w:t>http://www.dir.ca.gov/title8/5193.html</w:t>
        </w:r>
      </w:hyperlink>
      <w:r w:rsidR="004F698A">
        <w:rPr>
          <w:rStyle w:val="Hyperlink"/>
          <w:rFonts w:ascii="Arial" w:hAnsi="Arial" w:cs="Arial"/>
          <w:b/>
          <w:bCs/>
          <w:i/>
          <w:color w:val="auto"/>
          <w:sz w:val="18"/>
          <w:szCs w:val="18"/>
          <w:u w:val="none"/>
        </w:rPr>
        <w:t xml:space="preserve">. </w:t>
      </w:r>
      <w:r w:rsidR="004F698A">
        <w:rPr>
          <w:rStyle w:val="Hyperlink"/>
          <w:rFonts w:ascii="Arial" w:hAnsi="Arial" w:cs="Arial"/>
          <w:bCs/>
          <w:i/>
          <w:color w:val="auto"/>
          <w:sz w:val="18"/>
          <w:szCs w:val="18"/>
          <w:u w:val="none"/>
        </w:rPr>
        <w:t>A</w:t>
      </w:r>
      <w:r w:rsidR="004F698A" w:rsidRPr="005F20DC">
        <w:rPr>
          <w:rStyle w:val="Hyperlink"/>
          <w:rFonts w:ascii="Arial" w:hAnsi="Arial" w:cs="Arial"/>
          <w:bCs/>
          <w:i/>
          <w:color w:val="auto"/>
          <w:sz w:val="18"/>
          <w:szCs w:val="18"/>
          <w:u w:val="none"/>
        </w:rPr>
        <w:t>ll personnel</w:t>
      </w:r>
      <w:r w:rsidR="004F698A">
        <w:rPr>
          <w:rStyle w:val="Hyperlink"/>
          <w:rFonts w:ascii="Arial" w:hAnsi="Arial" w:cs="Arial"/>
          <w:bCs/>
          <w:i/>
          <w:color w:val="auto"/>
          <w:sz w:val="18"/>
          <w:szCs w:val="18"/>
          <w:u w:val="none"/>
        </w:rPr>
        <w:t xml:space="preserve"> handling such materials</w:t>
      </w:r>
      <w:r w:rsidR="004F698A" w:rsidRPr="005F20DC">
        <w:rPr>
          <w:rStyle w:val="Hyperlink"/>
          <w:rFonts w:ascii="Arial" w:hAnsi="Arial" w:cs="Arial"/>
          <w:bCs/>
          <w:i/>
          <w:color w:val="auto"/>
          <w:sz w:val="18"/>
          <w:szCs w:val="18"/>
          <w:u w:val="none"/>
        </w:rPr>
        <w:t xml:space="preserve"> must take</w:t>
      </w:r>
      <w:r w:rsidR="004F698A">
        <w:rPr>
          <w:rStyle w:val="Hyperlink"/>
          <w:rFonts w:ascii="Arial" w:hAnsi="Arial" w:cs="Arial"/>
          <w:bCs/>
          <w:i/>
          <w:color w:val="auto"/>
          <w:sz w:val="18"/>
          <w:szCs w:val="18"/>
          <w:u w:val="none"/>
        </w:rPr>
        <w:t xml:space="preserve"> the </w:t>
      </w:r>
      <w:proofErr w:type="spellStart"/>
      <w:r w:rsidR="004F698A">
        <w:rPr>
          <w:rStyle w:val="Hyperlink"/>
          <w:rFonts w:ascii="Arial" w:hAnsi="Arial" w:cs="Arial"/>
          <w:bCs/>
          <w:i/>
          <w:color w:val="auto"/>
          <w:sz w:val="18"/>
          <w:szCs w:val="18"/>
          <w:u w:val="none"/>
        </w:rPr>
        <w:t>Bloodb</w:t>
      </w:r>
      <w:r w:rsidR="004F698A" w:rsidRPr="005F20DC">
        <w:rPr>
          <w:rStyle w:val="Hyperlink"/>
          <w:rFonts w:ascii="Arial" w:hAnsi="Arial" w:cs="Arial"/>
          <w:bCs/>
          <w:i/>
          <w:color w:val="auto"/>
          <w:sz w:val="18"/>
          <w:szCs w:val="18"/>
          <w:u w:val="none"/>
        </w:rPr>
        <w:t>orne</w:t>
      </w:r>
      <w:proofErr w:type="spellEnd"/>
      <w:r w:rsidR="004F698A" w:rsidRPr="005F20DC">
        <w:rPr>
          <w:rStyle w:val="Hyperlink"/>
          <w:rFonts w:ascii="Arial" w:hAnsi="Arial" w:cs="Arial"/>
          <w:bCs/>
          <w:i/>
          <w:color w:val="auto"/>
          <w:sz w:val="18"/>
          <w:szCs w:val="18"/>
          <w:u w:val="none"/>
        </w:rPr>
        <w:t xml:space="preserve"> Pathogen</w:t>
      </w:r>
      <w:r w:rsidR="004F698A">
        <w:rPr>
          <w:rStyle w:val="Hyperlink"/>
          <w:rFonts w:ascii="Arial" w:hAnsi="Arial" w:cs="Arial"/>
          <w:bCs/>
          <w:i/>
          <w:color w:val="auto"/>
          <w:sz w:val="18"/>
          <w:szCs w:val="18"/>
          <w:u w:val="none"/>
        </w:rPr>
        <w:t>s</w:t>
      </w:r>
      <w:r w:rsidR="004F698A" w:rsidRPr="005F20DC">
        <w:rPr>
          <w:rStyle w:val="Hyperlink"/>
          <w:rFonts w:ascii="Arial" w:hAnsi="Arial" w:cs="Arial"/>
          <w:bCs/>
          <w:i/>
          <w:color w:val="auto"/>
          <w:sz w:val="18"/>
          <w:szCs w:val="18"/>
          <w:u w:val="none"/>
        </w:rPr>
        <w:t xml:space="preserve"> training</w:t>
      </w:r>
      <w:r w:rsidR="004F698A">
        <w:rPr>
          <w:rStyle w:val="Hyperlink"/>
          <w:rFonts w:ascii="Arial" w:hAnsi="Arial" w:cs="Arial"/>
          <w:bCs/>
          <w:i/>
          <w:color w:val="auto"/>
          <w:sz w:val="18"/>
          <w:szCs w:val="18"/>
          <w:u w:val="none"/>
        </w:rPr>
        <w:t xml:space="preserve"> course, provided via UCLC, annually.</w:t>
      </w:r>
    </w:p>
    <w:p w:rsidR="004009E9" w:rsidRPr="0069693E" w:rsidRDefault="004009E9" w:rsidP="0069693E">
      <w:pPr>
        <w:pStyle w:val="Heading2"/>
        <w:pBdr>
          <w:bottom w:val="single" w:sz="12" w:space="1" w:color="FFC000"/>
        </w:pBdr>
        <w:rPr>
          <w:rFonts w:asciiTheme="majorHAnsi" w:hAnsiTheme="majorHAnsi" w:cs="Arial"/>
          <w:b w:val="0"/>
          <w:color w:val="17365D" w:themeColor="text2" w:themeShade="BF"/>
          <w:sz w:val="32"/>
          <w:szCs w:val="32"/>
        </w:rPr>
      </w:pPr>
      <w:bookmarkStart w:id="0" w:name="_Toc267992684"/>
      <w:r w:rsidRPr="0069693E">
        <w:rPr>
          <w:rFonts w:asciiTheme="majorHAnsi" w:hAnsiTheme="majorHAnsi" w:cs="Arial"/>
          <w:b w:val="0"/>
          <w:color w:val="17365D" w:themeColor="text2" w:themeShade="BF"/>
          <w:sz w:val="32"/>
          <w:szCs w:val="32"/>
        </w:rPr>
        <w:t xml:space="preserve">Lab Contacts </w:t>
      </w:r>
      <w:bookmarkEnd w:id="0"/>
    </w:p>
    <w:p w:rsidR="004009E9" w:rsidRPr="004F698A" w:rsidRDefault="004009E9" w:rsidP="0069693E">
      <w:pPr>
        <w:rPr>
          <w:rFonts w:ascii="Arial" w:hAnsi="Arial" w:cs="Arial"/>
          <w:sz w:val="22"/>
          <w:szCs w:val="22"/>
          <w:highlight w:val="yellow"/>
        </w:rPr>
      </w:pPr>
      <w:r w:rsidRPr="004F698A">
        <w:rPr>
          <w:rFonts w:ascii="Arial" w:hAnsi="Arial" w:cs="Arial"/>
          <w:sz w:val="22"/>
          <w:szCs w:val="22"/>
          <w:highlight w:val="yellow"/>
        </w:rPr>
        <w:t xml:space="preserve">Principal Investigator:  </w:t>
      </w:r>
    </w:p>
    <w:p w:rsidR="0073406A" w:rsidRPr="004F698A" w:rsidRDefault="0073406A" w:rsidP="0069693E">
      <w:pPr>
        <w:rPr>
          <w:rFonts w:ascii="Arial" w:hAnsi="Arial" w:cs="Arial"/>
          <w:sz w:val="22"/>
          <w:szCs w:val="22"/>
          <w:highlight w:val="yellow"/>
        </w:rPr>
      </w:pPr>
      <w:r w:rsidRPr="004F698A">
        <w:rPr>
          <w:rFonts w:ascii="Arial" w:hAnsi="Arial" w:cs="Arial"/>
          <w:sz w:val="22"/>
          <w:szCs w:val="22"/>
          <w:highlight w:val="yellow"/>
        </w:rPr>
        <w:t>Phone:</w:t>
      </w:r>
    </w:p>
    <w:p w:rsidR="0073406A" w:rsidRPr="004F698A" w:rsidRDefault="0073406A" w:rsidP="0069693E">
      <w:pPr>
        <w:rPr>
          <w:rFonts w:ascii="Arial" w:hAnsi="Arial" w:cs="Arial"/>
          <w:sz w:val="22"/>
          <w:szCs w:val="22"/>
          <w:highlight w:val="yellow"/>
        </w:rPr>
      </w:pPr>
      <w:r w:rsidRPr="004F698A">
        <w:rPr>
          <w:rFonts w:ascii="Arial" w:hAnsi="Arial" w:cs="Arial"/>
          <w:sz w:val="22"/>
          <w:szCs w:val="22"/>
          <w:highlight w:val="yellow"/>
        </w:rPr>
        <w:t>Email</w:t>
      </w:r>
      <w:r w:rsidR="00CD4463" w:rsidRPr="004F698A">
        <w:rPr>
          <w:rFonts w:ascii="Arial" w:hAnsi="Arial" w:cs="Arial"/>
          <w:sz w:val="22"/>
          <w:szCs w:val="22"/>
          <w:highlight w:val="yellow"/>
        </w:rPr>
        <w:t>:</w:t>
      </w:r>
    </w:p>
    <w:p w:rsidR="0073406A" w:rsidRPr="004F698A" w:rsidRDefault="0073406A" w:rsidP="0069693E">
      <w:pPr>
        <w:rPr>
          <w:rFonts w:ascii="Arial" w:hAnsi="Arial" w:cs="Arial"/>
          <w:sz w:val="22"/>
          <w:szCs w:val="22"/>
          <w:highlight w:val="yellow"/>
        </w:rPr>
      </w:pPr>
      <w:r w:rsidRPr="004F698A">
        <w:rPr>
          <w:rFonts w:ascii="Arial" w:hAnsi="Arial" w:cs="Arial"/>
          <w:sz w:val="22"/>
          <w:szCs w:val="22"/>
          <w:highlight w:val="yellow"/>
        </w:rPr>
        <w:t>Alternate:</w:t>
      </w:r>
    </w:p>
    <w:p w:rsidR="0073406A" w:rsidRPr="004F698A" w:rsidRDefault="0073406A" w:rsidP="0069693E">
      <w:pPr>
        <w:rPr>
          <w:rFonts w:ascii="Arial" w:hAnsi="Arial" w:cs="Arial"/>
          <w:sz w:val="22"/>
          <w:szCs w:val="22"/>
          <w:highlight w:val="yellow"/>
        </w:rPr>
      </w:pPr>
      <w:r w:rsidRPr="004F698A">
        <w:rPr>
          <w:rFonts w:ascii="Arial" w:hAnsi="Arial" w:cs="Arial"/>
          <w:sz w:val="22"/>
          <w:szCs w:val="22"/>
          <w:highlight w:val="yellow"/>
        </w:rPr>
        <w:t>Phone</w:t>
      </w:r>
      <w:r w:rsidR="00CD4463" w:rsidRPr="004F698A">
        <w:rPr>
          <w:rFonts w:ascii="Arial" w:hAnsi="Arial" w:cs="Arial"/>
          <w:sz w:val="22"/>
          <w:szCs w:val="22"/>
          <w:highlight w:val="yellow"/>
        </w:rPr>
        <w:t>:</w:t>
      </w:r>
      <w:r w:rsidRPr="004F698A">
        <w:rPr>
          <w:rFonts w:ascii="Arial" w:hAnsi="Arial" w:cs="Arial"/>
          <w:sz w:val="22"/>
          <w:szCs w:val="22"/>
          <w:highlight w:val="yellow"/>
        </w:rPr>
        <w:t xml:space="preserve"> </w:t>
      </w:r>
    </w:p>
    <w:p w:rsidR="0073406A" w:rsidRPr="004F698A" w:rsidRDefault="0073406A" w:rsidP="0069693E">
      <w:pPr>
        <w:rPr>
          <w:rFonts w:ascii="Arial" w:hAnsi="Arial" w:cs="Arial"/>
          <w:sz w:val="22"/>
          <w:szCs w:val="22"/>
          <w:highlight w:val="yellow"/>
        </w:rPr>
      </w:pPr>
      <w:r w:rsidRPr="004F698A">
        <w:rPr>
          <w:rFonts w:ascii="Arial" w:hAnsi="Arial" w:cs="Arial"/>
          <w:sz w:val="22"/>
          <w:szCs w:val="22"/>
          <w:highlight w:val="yellow"/>
        </w:rPr>
        <w:t>Email</w:t>
      </w:r>
      <w:r w:rsidR="00CD4463" w:rsidRPr="004F698A">
        <w:rPr>
          <w:rFonts w:ascii="Arial" w:hAnsi="Arial" w:cs="Arial"/>
          <w:sz w:val="22"/>
          <w:szCs w:val="22"/>
          <w:highlight w:val="yellow"/>
        </w:rPr>
        <w:t>:</w:t>
      </w:r>
    </w:p>
    <w:p w:rsidR="004009E9" w:rsidRPr="004F698A" w:rsidRDefault="004009E9" w:rsidP="0069693E">
      <w:pPr>
        <w:rPr>
          <w:rFonts w:ascii="Arial" w:hAnsi="Arial" w:cs="Arial"/>
          <w:sz w:val="22"/>
          <w:szCs w:val="22"/>
          <w:highlight w:val="yellow"/>
        </w:rPr>
      </w:pPr>
      <w:r w:rsidRPr="004F698A">
        <w:rPr>
          <w:rFonts w:ascii="Arial" w:hAnsi="Arial" w:cs="Arial"/>
          <w:sz w:val="22"/>
          <w:szCs w:val="22"/>
          <w:highlight w:val="yellow"/>
        </w:rPr>
        <w:t>IBC Protocol #</w:t>
      </w:r>
    </w:p>
    <w:p w:rsidR="004009E9" w:rsidRPr="004F698A" w:rsidRDefault="004009E9" w:rsidP="0069693E">
      <w:pPr>
        <w:rPr>
          <w:rFonts w:ascii="Arial" w:hAnsi="Arial" w:cs="Arial"/>
          <w:sz w:val="22"/>
          <w:szCs w:val="22"/>
          <w:highlight w:val="yellow"/>
        </w:rPr>
      </w:pPr>
      <w:r w:rsidRPr="004F698A">
        <w:rPr>
          <w:rFonts w:ascii="Arial" w:hAnsi="Arial" w:cs="Arial"/>
          <w:sz w:val="22"/>
          <w:szCs w:val="22"/>
          <w:highlight w:val="yellow"/>
        </w:rPr>
        <w:t>IACUC Protocol # (if applicable)</w:t>
      </w:r>
    </w:p>
    <w:p w:rsidR="00BA46E4" w:rsidRPr="004F698A" w:rsidRDefault="00BA46E4" w:rsidP="0069693E">
      <w:pPr>
        <w:rPr>
          <w:rFonts w:ascii="Arial" w:hAnsi="Arial" w:cs="Arial"/>
          <w:sz w:val="22"/>
          <w:szCs w:val="22"/>
          <w:highlight w:val="yellow"/>
        </w:rPr>
      </w:pPr>
      <w:r w:rsidRPr="004F698A">
        <w:rPr>
          <w:rFonts w:ascii="Arial" w:hAnsi="Arial" w:cs="Arial"/>
          <w:sz w:val="22"/>
          <w:szCs w:val="22"/>
          <w:highlight w:val="yellow"/>
        </w:rPr>
        <w:t>Lab location:</w:t>
      </w:r>
    </w:p>
    <w:p w:rsidR="00BA46E4" w:rsidRDefault="00BA46E4" w:rsidP="0069693E">
      <w:pPr>
        <w:rPr>
          <w:rFonts w:ascii="Arial" w:hAnsi="Arial" w:cs="Arial"/>
          <w:sz w:val="22"/>
          <w:szCs w:val="22"/>
        </w:rPr>
      </w:pPr>
      <w:r w:rsidRPr="004F698A">
        <w:rPr>
          <w:rFonts w:ascii="Arial" w:hAnsi="Arial" w:cs="Arial"/>
          <w:sz w:val="22"/>
          <w:szCs w:val="22"/>
          <w:highlight w:val="yellow"/>
        </w:rPr>
        <w:t>Containment level</w:t>
      </w:r>
      <w:r w:rsidR="004F698A">
        <w:rPr>
          <w:rFonts w:ascii="Arial" w:hAnsi="Arial" w:cs="Arial"/>
          <w:sz w:val="22"/>
          <w:szCs w:val="22"/>
          <w:highlight w:val="yellow"/>
        </w:rPr>
        <w:t xml:space="preserve">: </w:t>
      </w:r>
      <w:r w:rsidR="004F698A" w:rsidRPr="004F698A">
        <w:rPr>
          <w:rFonts w:ascii="Arial" w:hAnsi="Arial" w:cs="Arial"/>
          <w:i/>
          <w:sz w:val="22"/>
          <w:szCs w:val="22"/>
          <w:highlight w:val="yellow"/>
        </w:rPr>
        <w:t>(</w:t>
      </w:r>
      <w:r w:rsidRPr="004F698A">
        <w:rPr>
          <w:rFonts w:ascii="Arial" w:hAnsi="Arial" w:cs="Arial"/>
          <w:i/>
          <w:sz w:val="22"/>
          <w:szCs w:val="22"/>
          <w:highlight w:val="yellow"/>
        </w:rPr>
        <w:t>BSL1, BSL2, BSL2+)</w:t>
      </w:r>
    </w:p>
    <w:p w:rsidR="004009E9" w:rsidRPr="00E84DED" w:rsidRDefault="004009E9" w:rsidP="0069693E">
      <w:pPr>
        <w:pStyle w:val="NoSpacing"/>
        <w:rPr>
          <w:rFonts w:ascii="Arial" w:hAnsi="Arial" w:cs="Arial"/>
        </w:rPr>
      </w:pPr>
      <w:r w:rsidRPr="00E84DED">
        <w:rPr>
          <w:rFonts w:ascii="Arial" w:hAnsi="Arial" w:cs="Arial"/>
          <w:bCs/>
        </w:rPr>
        <w:t xml:space="preserve">No one is allowed to work with </w:t>
      </w:r>
      <w:r w:rsidR="00887278">
        <w:rPr>
          <w:rFonts w:ascii="Arial" w:hAnsi="Arial" w:cs="Arial"/>
          <w:bCs/>
        </w:rPr>
        <w:t>retrovirus</w:t>
      </w:r>
      <w:r w:rsidRPr="00E84DED">
        <w:rPr>
          <w:rFonts w:ascii="Arial" w:hAnsi="Arial" w:cs="Arial"/>
          <w:bCs/>
        </w:rPr>
        <w:t xml:space="preserve"> without having prior training</w:t>
      </w:r>
      <w:r w:rsidRPr="00E84DED">
        <w:rPr>
          <w:rFonts w:ascii="Arial" w:hAnsi="Arial" w:cs="Arial"/>
        </w:rPr>
        <w:t xml:space="preserve"> by the Principal Investigator</w:t>
      </w:r>
      <w:r w:rsidR="00CD4463" w:rsidRPr="00E84DED">
        <w:rPr>
          <w:rFonts w:ascii="Arial" w:hAnsi="Arial" w:cs="Arial"/>
        </w:rPr>
        <w:t xml:space="preserve"> (PI)</w:t>
      </w:r>
      <w:r w:rsidRPr="00E84DED">
        <w:rPr>
          <w:rFonts w:ascii="Arial" w:hAnsi="Arial" w:cs="Arial"/>
        </w:rPr>
        <w:t xml:space="preserve"> who supervises their work, or their designated technical expert. The worker should demonstrate good microbiological and tissue culture technique and an understanding of this </w:t>
      </w:r>
      <w:r w:rsidR="00CD4463" w:rsidRPr="00E84DED">
        <w:rPr>
          <w:rFonts w:ascii="Arial" w:hAnsi="Arial" w:cs="Arial"/>
        </w:rPr>
        <w:t>Standard Operating Procedures (</w:t>
      </w:r>
      <w:r w:rsidRPr="00E84DED">
        <w:rPr>
          <w:rFonts w:ascii="Arial" w:hAnsi="Arial" w:cs="Arial"/>
        </w:rPr>
        <w:t>SOP</w:t>
      </w:r>
      <w:r w:rsidR="00CD4463" w:rsidRPr="00E84DED">
        <w:rPr>
          <w:rFonts w:ascii="Arial" w:hAnsi="Arial" w:cs="Arial"/>
        </w:rPr>
        <w:t>)</w:t>
      </w:r>
      <w:r w:rsidRPr="00E84DED">
        <w:rPr>
          <w:rFonts w:ascii="Arial" w:hAnsi="Arial" w:cs="Arial"/>
        </w:rPr>
        <w:t xml:space="preserve"> prior to being permitted to work with </w:t>
      </w:r>
      <w:r w:rsidR="00887278">
        <w:rPr>
          <w:rFonts w:ascii="Arial" w:hAnsi="Arial" w:cs="Arial"/>
        </w:rPr>
        <w:t>retrovirus</w:t>
      </w:r>
      <w:r w:rsidRPr="00E84DED">
        <w:rPr>
          <w:rFonts w:ascii="Arial" w:hAnsi="Arial" w:cs="Arial"/>
        </w:rPr>
        <w:t>.</w:t>
      </w:r>
      <w:r w:rsidR="000F4EB2" w:rsidRPr="00E84DED">
        <w:rPr>
          <w:rFonts w:ascii="Arial" w:hAnsi="Arial" w:cs="Arial"/>
        </w:rPr>
        <w:t xml:space="preserve"> </w:t>
      </w:r>
      <w:r w:rsidR="00195B50" w:rsidRPr="00E84DED">
        <w:rPr>
          <w:rFonts w:ascii="Arial" w:hAnsi="Arial" w:cs="Arial"/>
        </w:rPr>
        <w:t>SOP</w:t>
      </w:r>
      <w:r w:rsidR="00CD4463" w:rsidRPr="00E84DED">
        <w:rPr>
          <w:rFonts w:ascii="Arial" w:hAnsi="Arial" w:cs="Arial"/>
        </w:rPr>
        <w:t xml:space="preserve"> </w:t>
      </w:r>
      <w:r w:rsidR="00195B50" w:rsidRPr="00E84DED">
        <w:rPr>
          <w:rFonts w:ascii="Arial" w:hAnsi="Arial" w:cs="Arial"/>
        </w:rPr>
        <w:t xml:space="preserve">for the planned procedures must be written and shall be present in the laboratory at all times. All staff involved with the handling and administration of </w:t>
      </w:r>
      <w:r w:rsidR="00887278">
        <w:rPr>
          <w:rFonts w:ascii="Arial" w:hAnsi="Arial" w:cs="Arial"/>
        </w:rPr>
        <w:t>retroviral</w:t>
      </w:r>
      <w:r w:rsidR="00195B50" w:rsidRPr="00E84DED">
        <w:rPr>
          <w:rFonts w:ascii="Arial" w:hAnsi="Arial" w:cs="Arial"/>
        </w:rPr>
        <w:t xml:space="preserve"> vectors must receive </w:t>
      </w:r>
      <w:r w:rsidR="000F4EB2" w:rsidRPr="00E84DED">
        <w:rPr>
          <w:rFonts w:ascii="Arial" w:hAnsi="Arial" w:cs="Arial"/>
        </w:rPr>
        <w:t xml:space="preserve">lab core safety training, blood borne pathogen, medical waste management and viral vector training provided by UCI EH&amp;S </w:t>
      </w:r>
      <w:r w:rsidR="00195B50" w:rsidRPr="00E84DED">
        <w:rPr>
          <w:rFonts w:ascii="Arial" w:hAnsi="Arial" w:cs="Arial"/>
        </w:rPr>
        <w:t>and lab specific training provided by the PI or the lab supervisor</w:t>
      </w:r>
      <w:r w:rsidR="009935FE" w:rsidRPr="00E84DED">
        <w:rPr>
          <w:rFonts w:ascii="Arial" w:hAnsi="Arial" w:cs="Arial"/>
        </w:rPr>
        <w:t>.</w:t>
      </w:r>
    </w:p>
    <w:p w:rsidR="000F4EB2" w:rsidRPr="00E84DED" w:rsidRDefault="000F4EB2" w:rsidP="0069693E">
      <w:pPr>
        <w:pStyle w:val="NoSpacing"/>
        <w:rPr>
          <w:rFonts w:ascii="Arial" w:hAnsi="Arial" w:cs="Arial"/>
        </w:rPr>
      </w:pPr>
    </w:p>
    <w:p w:rsidR="000F4EB2" w:rsidRPr="00E84DED" w:rsidRDefault="000F4EB2" w:rsidP="0069693E">
      <w:pPr>
        <w:pStyle w:val="NoSpacing"/>
        <w:rPr>
          <w:rFonts w:ascii="Arial" w:hAnsi="Arial" w:cs="Arial"/>
          <w:i/>
          <w:sz w:val="20"/>
          <w:szCs w:val="20"/>
        </w:rPr>
      </w:pPr>
      <w:r w:rsidRPr="00E84DED">
        <w:rPr>
          <w:rFonts w:ascii="Arial" w:hAnsi="Arial" w:cs="Arial"/>
          <w:i/>
          <w:sz w:val="20"/>
          <w:szCs w:val="20"/>
        </w:rPr>
        <w:t>Please refer to the lab BBP-E</w:t>
      </w:r>
      <w:r w:rsidR="00CD4463" w:rsidRPr="00E84DED">
        <w:rPr>
          <w:rFonts w:ascii="Arial" w:hAnsi="Arial" w:cs="Arial"/>
          <w:i/>
          <w:sz w:val="20"/>
          <w:szCs w:val="20"/>
        </w:rPr>
        <w:t xml:space="preserve">CP </w:t>
      </w:r>
      <w:r w:rsidRPr="00E84DED">
        <w:rPr>
          <w:rFonts w:ascii="Arial" w:hAnsi="Arial" w:cs="Arial"/>
          <w:i/>
          <w:sz w:val="20"/>
          <w:szCs w:val="20"/>
        </w:rPr>
        <w:t xml:space="preserve">for </w:t>
      </w:r>
      <w:r w:rsidR="009B047B" w:rsidRPr="00E84DED">
        <w:rPr>
          <w:rFonts w:ascii="Arial" w:hAnsi="Arial" w:cs="Arial"/>
          <w:i/>
          <w:sz w:val="20"/>
          <w:szCs w:val="20"/>
        </w:rPr>
        <w:t>spill procedure,</w:t>
      </w:r>
      <w:r w:rsidR="00C37C2E" w:rsidRPr="00E84DED">
        <w:rPr>
          <w:rFonts w:ascii="Arial" w:hAnsi="Arial" w:cs="Arial"/>
          <w:i/>
          <w:sz w:val="20"/>
          <w:szCs w:val="20"/>
        </w:rPr>
        <w:t xml:space="preserve"> </w:t>
      </w:r>
      <w:r w:rsidRPr="00E84DED">
        <w:rPr>
          <w:rFonts w:ascii="Arial" w:hAnsi="Arial" w:cs="Arial"/>
          <w:i/>
          <w:sz w:val="20"/>
          <w:szCs w:val="20"/>
        </w:rPr>
        <w:t>medical emergency contact information, reporting and documentation of injury and post exposure evaluation and follow-up.</w:t>
      </w:r>
    </w:p>
    <w:p w:rsidR="00422DF4" w:rsidRPr="009B047B" w:rsidRDefault="00422DF4" w:rsidP="0069693E">
      <w:pPr>
        <w:pStyle w:val="NoSpacing"/>
        <w:rPr>
          <w:rFonts w:ascii="Arial" w:hAnsi="Arial" w:cs="Arial"/>
        </w:rPr>
      </w:pPr>
    </w:p>
    <w:p w:rsidR="00422DF4" w:rsidRPr="0069693E" w:rsidRDefault="00422DF4" w:rsidP="0069693E">
      <w:pPr>
        <w:pStyle w:val="NoSpacing"/>
        <w:pBdr>
          <w:bottom w:val="single" w:sz="12" w:space="1" w:color="FFC000"/>
        </w:pBdr>
        <w:rPr>
          <w:rFonts w:asciiTheme="majorHAnsi" w:hAnsiTheme="majorHAnsi" w:cs="Arial"/>
          <w:color w:val="17365D" w:themeColor="text2" w:themeShade="BF"/>
          <w:sz w:val="32"/>
          <w:szCs w:val="32"/>
        </w:rPr>
      </w:pPr>
      <w:r w:rsidRPr="0069693E">
        <w:rPr>
          <w:rFonts w:asciiTheme="majorHAnsi" w:hAnsiTheme="majorHAnsi" w:cs="Arial"/>
          <w:color w:val="17365D" w:themeColor="text2" w:themeShade="BF"/>
          <w:sz w:val="32"/>
          <w:szCs w:val="32"/>
        </w:rPr>
        <w:t>Background</w:t>
      </w:r>
    </w:p>
    <w:p w:rsidR="00234F79" w:rsidRPr="00A71751" w:rsidRDefault="00887278" w:rsidP="0069693E">
      <w:pPr>
        <w:autoSpaceDE w:val="0"/>
        <w:autoSpaceDN w:val="0"/>
        <w:adjustRightInd w:val="0"/>
        <w:rPr>
          <w:rFonts w:ascii="Arial" w:eastAsiaTheme="minorHAnsi" w:hAnsi="Arial" w:cs="Arial"/>
          <w:sz w:val="22"/>
          <w:szCs w:val="22"/>
        </w:rPr>
      </w:pPr>
      <w:r w:rsidRPr="00A71751">
        <w:rPr>
          <w:rFonts w:ascii="Arial" w:hAnsi="Arial" w:cs="Arial"/>
          <w:sz w:val="22"/>
          <w:szCs w:val="22"/>
        </w:rPr>
        <w:t>Retrovirus</w:t>
      </w:r>
      <w:r w:rsidR="001648F0" w:rsidRPr="00A71751">
        <w:rPr>
          <w:rFonts w:ascii="Arial" w:hAnsi="Arial" w:cs="Arial"/>
          <w:sz w:val="22"/>
          <w:szCs w:val="22"/>
        </w:rPr>
        <w:t>es are able to</w:t>
      </w:r>
      <w:r w:rsidR="0073406A" w:rsidRPr="00A71751">
        <w:rPr>
          <w:rFonts w:ascii="Arial" w:hAnsi="Arial" w:cs="Arial"/>
          <w:sz w:val="22"/>
          <w:szCs w:val="22"/>
        </w:rPr>
        <w:t xml:space="preserve"> </w:t>
      </w:r>
      <w:r w:rsidR="001648F0" w:rsidRPr="00A71751">
        <w:rPr>
          <w:rFonts w:ascii="Arial" w:hAnsi="Arial" w:cs="Arial"/>
          <w:sz w:val="22"/>
          <w:szCs w:val="22"/>
        </w:rPr>
        <w:t xml:space="preserve">infect both proliferating &amp; non-proliferating cells. </w:t>
      </w:r>
      <w:r w:rsidRPr="00A71751">
        <w:rPr>
          <w:rFonts w:ascii="Arial" w:hAnsi="Arial" w:cs="Arial"/>
          <w:iCs/>
          <w:sz w:val="22"/>
          <w:szCs w:val="22"/>
        </w:rPr>
        <w:t>Retroviral</w:t>
      </w:r>
      <w:r w:rsidR="001648F0" w:rsidRPr="00A71751">
        <w:rPr>
          <w:rFonts w:ascii="Arial" w:hAnsi="Arial" w:cs="Arial"/>
          <w:iCs/>
          <w:sz w:val="22"/>
          <w:szCs w:val="22"/>
        </w:rPr>
        <w:t xml:space="preserve"> </w:t>
      </w:r>
      <w:r w:rsidR="001648F0" w:rsidRPr="00A71751">
        <w:rPr>
          <w:rFonts w:ascii="Arial" w:hAnsi="Arial" w:cs="Arial"/>
          <w:sz w:val="22"/>
          <w:szCs w:val="22"/>
        </w:rPr>
        <w:t xml:space="preserve">vectors </w:t>
      </w:r>
      <w:r w:rsidR="00234F79" w:rsidRPr="00A71751">
        <w:rPr>
          <w:rFonts w:ascii="Arial" w:hAnsi="Arial" w:cs="Arial"/>
          <w:sz w:val="22"/>
          <w:szCs w:val="22"/>
        </w:rPr>
        <w:t xml:space="preserve">are generally based on murine viruses. These viruses can be </w:t>
      </w:r>
      <w:proofErr w:type="spellStart"/>
      <w:r w:rsidR="00234F79" w:rsidRPr="00A71751">
        <w:rPr>
          <w:rFonts w:ascii="Arial" w:eastAsiaTheme="minorHAnsi" w:hAnsi="Arial" w:cs="Arial"/>
          <w:sz w:val="22"/>
          <w:szCs w:val="22"/>
        </w:rPr>
        <w:t>ecotropic</w:t>
      </w:r>
      <w:proofErr w:type="spellEnd"/>
      <w:r w:rsidR="00234F79" w:rsidRPr="00A71751">
        <w:rPr>
          <w:rFonts w:ascii="Arial" w:eastAsiaTheme="minorHAnsi" w:hAnsi="Arial" w:cs="Arial"/>
          <w:sz w:val="22"/>
          <w:szCs w:val="22"/>
        </w:rPr>
        <w:t xml:space="preserve"> viruses (which can infect only murine cells), </w:t>
      </w:r>
      <w:proofErr w:type="spellStart"/>
      <w:r w:rsidR="00234F79" w:rsidRPr="00A71751">
        <w:rPr>
          <w:rFonts w:ascii="Arial" w:eastAsiaTheme="minorHAnsi" w:hAnsi="Arial" w:cs="Arial"/>
          <w:sz w:val="22"/>
          <w:szCs w:val="22"/>
        </w:rPr>
        <w:t>amphotropic</w:t>
      </w:r>
      <w:proofErr w:type="spellEnd"/>
      <w:r w:rsidR="00234F79" w:rsidRPr="00A71751">
        <w:rPr>
          <w:rFonts w:ascii="Arial" w:eastAsiaTheme="minorHAnsi" w:hAnsi="Arial" w:cs="Arial"/>
          <w:sz w:val="22"/>
          <w:szCs w:val="22"/>
        </w:rPr>
        <w:t xml:space="preserve"> viruses (which can infect human cells) or </w:t>
      </w:r>
      <w:proofErr w:type="spellStart"/>
      <w:r w:rsidR="00234F79" w:rsidRPr="00A71751">
        <w:rPr>
          <w:rFonts w:ascii="Arial" w:eastAsiaTheme="minorHAnsi" w:hAnsi="Arial" w:cs="Arial"/>
          <w:sz w:val="22"/>
          <w:szCs w:val="22"/>
        </w:rPr>
        <w:t>pseudotyped</w:t>
      </w:r>
      <w:proofErr w:type="spellEnd"/>
      <w:r w:rsidR="00234F79" w:rsidRPr="00A71751">
        <w:rPr>
          <w:rFonts w:ascii="Arial" w:eastAsiaTheme="minorHAnsi" w:hAnsi="Arial" w:cs="Arial"/>
          <w:sz w:val="22"/>
          <w:szCs w:val="22"/>
        </w:rPr>
        <w:t xml:space="preserve"> viruses, when vector particles express glycoproteins (GPs) derived from other enveloped viruses</w:t>
      </w:r>
    </w:p>
    <w:p w:rsidR="001648F0" w:rsidRPr="00A71751" w:rsidRDefault="00234F79" w:rsidP="0069693E">
      <w:pPr>
        <w:pStyle w:val="NoSpacing"/>
        <w:rPr>
          <w:rFonts w:ascii="Arial" w:hAnsi="Arial" w:cs="Arial"/>
        </w:rPr>
      </w:pPr>
      <w:r w:rsidRPr="00A71751">
        <w:rPr>
          <w:rFonts w:ascii="Arial" w:hAnsi="Arial" w:cs="Arial"/>
        </w:rPr>
        <w:t>(</w:t>
      </w:r>
      <w:proofErr w:type="gramStart"/>
      <w:r w:rsidRPr="00A71751">
        <w:rPr>
          <w:rFonts w:ascii="Arial" w:hAnsi="Arial" w:cs="Arial"/>
        </w:rPr>
        <w:t>which</w:t>
      </w:r>
      <w:proofErr w:type="gramEnd"/>
      <w:r w:rsidRPr="00A71751">
        <w:rPr>
          <w:rFonts w:ascii="Arial" w:hAnsi="Arial" w:cs="Arial"/>
        </w:rPr>
        <w:t xml:space="preserve"> can also infect human cells). The viral vectors </w:t>
      </w:r>
      <w:r w:rsidR="001648F0" w:rsidRPr="00A71751">
        <w:rPr>
          <w:rFonts w:ascii="Arial" w:hAnsi="Arial" w:cs="Arial"/>
        </w:rPr>
        <w:t>have been</w:t>
      </w:r>
      <w:r w:rsidR="0073406A" w:rsidRPr="00A71751">
        <w:rPr>
          <w:rFonts w:ascii="Arial" w:hAnsi="Arial" w:cs="Arial"/>
        </w:rPr>
        <w:t xml:space="preserve"> </w:t>
      </w:r>
      <w:r w:rsidR="001648F0" w:rsidRPr="00A71751">
        <w:rPr>
          <w:rFonts w:ascii="Arial" w:hAnsi="Arial" w:cs="Arial"/>
        </w:rPr>
        <w:t>modified to provide a safer version of the virus in which the viral replication</w:t>
      </w:r>
      <w:r w:rsidR="0073406A" w:rsidRPr="00A71751">
        <w:rPr>
          <w:rFonts w:ascii="Arial" w:hAnsi="Arial" w:cs="Arial"/>
        </w:rPr>
        <w:t xml:space="preserve"> </w:t>
      </w:r>
      <w:r w:rsidR="001648F0" w:rsidRPr="00A71751">
        <w:rPr>
          <w:rFonts w:ascii="Arial" w:hAnsi="Arial" w:cs="Arial"/>
        </w:rPr>
        <w:t>genes have been removed. During infection, there is a possibility that the</w:t>
      </w:r>
      <w:r w:rsidR="0073406A" w:rsidRPr="00A71751">
        <w:rPr>
          <w:rFonts w:ascii="Arial" w:hAnsi="Arial" w:cs="Arial"/>
        </w:rPr>
        <w:t xml:space="preserve"> </w:t>
      </w:r>
      <w:r w:rsidR="00887278" w:rsidRPr="00A71751">
        <w:rPr>
          <w:rFonts w:ascii="Arial" w:hAnsi="Arial" w:cs="Arial"/>
          <w:iCs/>
        </w:rPr>
        <w:t>retrovirus</w:t>
      </w:r>
      <w:r w:rsidR="001648F0" w:rsidRPr="00A71751">
        <w:rPr>
          <w:rFonts w:ascii="Arial" w:hAnsi="Arial" w:cs="Arial"/>
          <w:iCs/>
        </w:rPr>
        <w:t xml:space="preserve"> </w:t>
      </w:r>
      <w:r w:rsidR="001648F0" w:rsidRPr="00A71751">
        <w:rPr>
          <w:rFonts w:ascii="Arial" w:hAnsi="Arial" w:cs="Arial"/>
        </w:rPr>
        <w:t>may convert to a replication competent state. Although this scenario is</w:t>
      </w:r>
      <w:r w:rsidR="0073406A" w:rsidRPr="00A71751">
        <w:rPr>
          <w:rFonts w:ascii="Arial" w:hAnsi="Arial" w:cs="Arial"/>
        </w:rPr>
        <w:t xml:space="preserve"> </w:t>
      </w:r>
      <w:r w:rsidR="001648F0" w:rsidRPr="00A71751">
        <w:rPr>
          <w:rFonts w:ascii="Arial" w:hAnsi="Arial" w:cs="Arial"/>
        </w:rPr>
        <w:t>highly unlikely, monitoring for such a possibility is encouraged, since such a</w:t>
      </w:r>
      <w:r w:rsidR="0073406A" w:rsidRPr="00A71751">
        <w:rPr>
          <w:rFonts w:ascii="Arial" w:hAnsi="Arial" w:cs="Arial"/>
        </w:rPr>
        <w:t xml:space="preserve"> </w:t>
      </w:r>
      <w:r w:rsidR="001648F0" w:rsidRPr="00A71751">
        <w:rPr>
          <w:rFonts w:ascii="Arial" w:hAnsi="Arial" w:cs="Arial"/>
        </w:rPr>
        <w:t>conversion could compromise laboratory safety.</w:t>
      </w:r>
    </w:p>
    <w:p w:rsidR="006C0B4D" w:rsidRDefault="006C0B4D" w:rsidP="0069693E">
      <w:pPr>
        <w:pStyle w:val="NoSpacing"/>
        <w:rPr>
          <w:rFonts w:ascii="Arial" w:hAnsi="Arial" w:cs="Arial"/>
        </w:rPr>
      </w:pPr>
    </w:p>
    <w:p w:rsidR="006C0B4D" w:rsidRPr="009B047B" w:rsidRDefault="006C0B4D" w:rsidP="0069693E">
      <w:pPr>
        <w:pStyle w:val="NoSpacing"/>
        <w:rPr>
          <w:rFonts w:ascii="Arial" w:hAnsi="Arial" w:cs="Arial"/>
        </w:rPr>
      </w:pPr>
      <w:r w:rsidRPr="009B047B">
        <w:rPr>
          <w:rFonts w:ascii="Arial" w:hAnsi="Arial" w:cs="Arial"/>
        </w:rPr>
        <w:t xml:space="preserve">The major risks to be considered for research with </w:t>
      </w:r>
      <w:r w:rsidR="00887278">
        <w:rPr>
          <w:rFonts w:ascii="Arial" w:hAnsi="Arial" w:cs="Arial"/>
        </w:rPr>
        <w:t>retrovirus</w:t>
      </w:r>
      <w:r w:rsidRPr="009B047B">
        <w:rPr>
          <w:rFonts w:ascii="Arial" w:hAnsi="Arial" w:cs="Arial"/>
        </w:rPr>
        <w:t xml:space="preserve"> vectors are the</w:t>
      </w:r>
      <w:r w:rsidR="0073406A" w:rsidRPr="009B047B">
        <w:rPr>
          <w:rFonts w:ascii="Arial" w:hAnsi="Arial" w:cs="Arial"/>
        </w:rPr>
        <w:t xml:space="preserve"> </w:t>
      </w:r>
      <w:r w:rsidRPr="009B047B">
        <w:rPr>
          <w:rFonts w:ascii="Arial" w:hAnsi="Arial" w:cs="Arial"/>
        </w:rPr>
        <w:t xml:space="preserve">potential for generation of replication-competent </w:t>
      </w:r>
      <w:r w:rsidR="00887278">
        <w:rPr>
          <w:rFonts w:ascii="Arial" w:hAnsi="Arial" w:cs="Arial"/>
        </w:rPr>
        <w:t>retrovirus</w:t>
      </w:r>
      <w:r w:rsidRPr="009B047B">
        <w:rPr>
          <w:rFonts w:ascii="Arial" w:hAnsi="Arial" w:cs="Arial"/>
        </w:rPr>
        <w:t xml:space="preserve"> (RC</w:t>
      </w:r>
      <w:r w:rsidR="00E115CA">
        <w:rPr>
          <w:rFonts w:ascii="Arial" w:hAnsi="Arial" w:cs="Arial"/>
        </w:rPr>
        <w:t>R</w:t>
      </w:r>
      <w:r w:rsidRPr="009B047B">
        <w:rPr>
          <w:rFonts w:ascii="Arial" w:hAnsi="Arial" w:cs="Arial"/>
        </w:rPr>
        <w:t xml:space="preserve">), and the potential for oncogenesis via random chromosomal integration.  The nature of the transgene must also be considered in </w:t>
      </w:r>
      <w:r w:rsidRPr="009B047B">
        <w:rPr>
          <w:rFonts w:ascii="Arial" w:hAnsi="Arial" w:cs="Arial"/>
        </w:rPr>
        <w:lastRenderedPageBreak/>
        <w:t xml:space="preserve">assessing risk. These risks can be mitigated by the nature of the vector system (and its safety features) or exacerbated by the nature of the transgene insert encoded by the vector (e.g., expression of a known oncogene with a constitutive strong promoter may require heightened safety precautions). </w:t>
      </w:r>
    </w:p>
    <w:p w:rsidR="006C0B4D" w:rsidRPr="009B047B" w:rsidRDefault="006C0B4D" w:rsidP="0069693E">
      <w:pPr>
        <w:pStyle w:val="NoSpacing"/>
        <w:rPr>
          <w:rFonts w:ascii="Arial" w:hAnsi="Arial" w:cs="Arial"/>
        </w:rPr>
      </w:pPr>
    </w:p>
    <w:p w:rsidR="006C0B4D" w:rsidRDefault="006C0B4D" w:rsidP="0069693E">
      <w:pPr>
        <w:pStyle w:val="NoSpacing"/>
        <w:rPr>
          <w:rFonts w:ascii="Arial" w:hAnsi="Arial" w:cs="Arial"/>
        </w:rPr>
      </w:pPr>
      <w:r w:rsidRPr="009B047B">
        <w:rPr>
          <w:rFonts w:ascii="Arial" w:hAnsi="Arial" w:cs="Arial"/>
        </w:rPr>
        <w:t>The potential for generation of RC</w:t>
      </w:r>
      <w:r w:rsidR="00E115CA">
        <w:rPr>
          <w:rFonts w:ascii="Arial" w:hAnsi="Arial" w:cs="Arial"/>
        </w:rPr>
        <w:t>R</w:t>
      </w:r>
      <w:r w:rsidRPr="009B047B">
        <w:rPr>
          <w:rFonts w:ascii="Arial" w:hAnsi="Arial" w:cs="Arial"/>
        </w:rPr>
        <w:t xml:space="preserve"> from </w:t>
      </w:r>
      <w:r w:rsidR="00887278">
        <w:rPr>
          <w:rFonts w:ascii="Arial" w:hAnsi="Arial" w:cs="Arial"/>
        </w:rPr>
        <w:t>retrovirus</w:t>
      </w:r>
      <w:r w:rsidRPr="009B047B">
        <w:rPr>
          <w:rFonts w:ascii="Arial" w:hAnsi="Arial" w:cs="Arial"/>
        </w:rPr>
        <w:t xml:space="preserve"> vectors depends upon several parameters, the most important of which are the number of recombination events necessary to reassemble a replication competent virus genome and the number of essential genes that have been deleted from the vector/packaging system.   On this basis, later generation </w:t>
      </w:r>
      <w:r w:rsidR="00887278">
        <w:rPr>
          <w:rFonts w:ascii="Arial" w:hAnsi="Arial" w:cs="Arial"/>
        </w:rPr>
        <w:t>retrovirus</w:t>
      </w:r>
      <w:r w:rsidRPr="009B047B">
        <w:rPr>
          <w:rFonts w:ascii="Arial" w:hAnsi="Arial" w:cs="Arial"/>
        </w:rPr>
        <w:t xml:space="preserve"> vector systems are likely to provide a greater margin of personal and public safety than earlier vectors, because they use a heterologous coat protein in place of the native envelope protein, thus reducing the risk of RC</w:t>
      </w:r>
      <w:r w:rsidR="00E115CA">
        <w:rPr>
          <w:rFonts w:ascii="Arial" w:hAnsi="Arial" w:cs="Arial"/>
        </w:rPr>
        <w:t>R</w:t>
      </w:r>
      <w:r w:rsidRPr="009B047B">
        <w:rPr>
          <w:rFonts w:ascii="Arial" w:hAnsi="Arial" w:cs="Arial"/>
        </w:rPr>
        <w:t xml:space="preserve"> generation.  (It should be noted,</w:t>
      </w:r>
      <w:r w:rsidR="00CB5062">
        <w:rPr>
          <w:rFonts w:ascii="Arial" w:hAnsi="Arial" w:cs="Arial"/>
        </w:rPr>
        <w:t xml:space="preserve"> </w:t>
      </w:r>
      <w:r w:rsidRPr="009B047B">
        <w:rPr>
          <w:rFonts w:ascii="Arial" w:hAnsi="Arial" w:cs="Arial"/>
        </w:rPr>
        <w:t xml:space="preserve">however, that </w:t>
      </w:r>
      <w:proofErr w:type="spellStart"/>
      <w:r w:rsidRPr="009B047B">
        <w:rPr>
          <w:rFonts w:ascii="Arial" w:hAnsi="Arial" w:cs="Arial"/>
        </w:rPr>
        <w:t>pseudotyping</w:t>
      </w:r>
      <w:proofErr w:type="spellEnd"/>
      <w:r w:rsidRPr="009B047B">
        <w:rPr>
          <w:rFonts w:ascii="Arial" w:hAnsi="Arial" w:cs="Arial"/>
        </w:rPr>
        <w:t xml:space="preserve"> with coat proteins such as VSV-G may broaden the host cell and tissue tropism of </w:t>
      </w:r>
      <w:r w:rsidR="00887278">
        <w:rPr>
          <w:rFonts w:ascii="Arial" w:hAnsi="Arial" w:cs="Arial"/>
        </w:rPr>
        <w:t>retrovirus</w:t>
      </w:r>
      <w:r w:rsidRPr="009B047B">
        <w:rPr>
          <w:rFonts w:ascii="Arial" w:hAnsi="Arial" w:cs="Arial"/>
        </w:rPr>
        <w:t xml:space="preserve"> vectors, which will be considered in the overall safety assessment by the IBC).  Later generation vector systems also separate vector and packaging functions onto three or four plasmids and they include additional safety features such as the deletion of Tat, which is essential for replication of </w:t>
      </w:r>
      <w:r w:rsidR="00887278">
        <w:rPr>
          <w:rFonts w:ascii="Arial" w:hAnsi="Arial" w:cs="Arial"/>
        </w:rPr>
        <w:t xml:space="preserve">retrovirus </w:t>
      </w:r>
      <w:r w:rsidRPr="009B047B">
        <w:rPr>
          <w:rFonts w:ascii="Arial" w:hAnsi="Arial" w:cs="Arial"/>
        </w:rPr>
        <w:t>and altered 3’ LTR that renders the vector “self-inactivating” (SIN)</w:t>
      </w:r>
      <w:r w:rsidR="004009E9" w:rsidRPr="009B047B">
        <w:rPr>
          <w:rFonts w:ascii="Arial" w:hAnsi="Arial" w:cs="Arial"/>
        </w:rPr>
        <w:t xml:space="preserve">.  </w:t>
      </w:r>
      <w:r w:rsidRPr="009B047B">
        <w:rPr>
          <w:rFonts w:ascii="Arial" w:hAnsi="Arial" w:cs="Arial"/>
        </w:rPr>
        <w:t>In contrast, earlier vector systems (such as two-plasmid vector systems) may have a higher potential for generation of RCL.</w:t>
      </w:r>
    </w:p>
    <w:p w:rsidR="003C06BC" w:rsidRDefault="003C06BC" w:rsidP="0069693E">
      <w:pPr>
        <w:pStyle w:val="NoSpacing"/>
        <w:rPr>
          <w:rFonts w:ascii="Arial" w:hAnsi="Arial" w:cs="Arial"/>
        </w:rPr>
      </w:pPr>
    </w:p>
    <w:p w:rsidR="003C06BC" w:rsidRPr="003C06BC" w:rsidRDefault="003C06BC" w:rsidP="0069693E">
      <w:pPr>
        <w:pStyle w:val="NoSpacing"/>
        <w:rPr>
          <w:rFonts w:ascii="Arial" w:hAnsi="Arial" w:cs="Arial"/>
          <w:u w:val="single"/>
        </w:rPr>
      </w:pPr>
      <w:r w:rsidRPr="003C06BC">
        <w:rPr>
          <w:rFonts w:ascii="Arial" w:hAnsi="Arial" w:cs="Arial"/>
          <w:highlight w:val="yellow"/>
        </w:rPr>
        <w:t xml:space="preserve">Type of </w:t>
      </w:r>
      <w:r w:rsidR="00887278">
        <w:rPr>
          <w:rFonts w:ascii="Arial" w:hAnsi="Arial" w:cs="Arial"/>
          <w:highlight w:val="yellow"/>
        </w:rPr>
        <w:t>retroviral</w:t>
      </w:r>
      <w:r w:rsidRPr="003C06BC">
        <w:rPr>
          <w:rFonts w:ascii="Arial" w:hAnsi="Arial" w:cs="Arial"/>
          <w:highlight w:val="yellow"/>
        </w:rPr>
        <w:t xml:space="preserve"> used in the lab: </w:t>
      </w:r>
      <w:r w:rsidR="00CB5062">
        <w:rPr>
          <w:rFonts w:ascii="Arial" w:hAnsi="Arial" w:cs="Arial"/>
        </w:rPr>
        <w:t xml:space="preserve"> </w:t>
      </w:r>
      <w:r w:rsidRPr="00CB5062">
        <w:rPr>
          <w:rFonts w:ascii="Arial" w:hAnsi="Arial" w:cs="Arial"/>
          <w:i/>
          <w:u w:val="single"/>
        </w:rPr>
        <w:t xml:space="preserve">description of </w:t>
      </w:r>
      <w:r w:rsidR="00887278" w:rsidRPr="00CB5062">
        <w:rPr>
          <w:rFonts w:ascii="Arial" w:hAnsi="Arial" w:cs="Arial"/>
          <w:i/>
          <w:u w:val="single"/>
        </w:rPr>
        <w:t>retroviral</w:t>
      </w:r>
      <w:r w:rsidR="00CB5062" w:rsidRPr="00CB5062">
        <w:rPr>
          <w:rFonts w:ascii="Arial" w:hAnsi="Arial" w:cs="Arial"/>
          <w:i/>
          <w:u w:val="single"/>
        </w:rPr>
        <w:t xml:space="preserve"> vectors and how</w:t>
      </w:r>
      <w:r w:rsidRPr="00CB5062">
        <w:rPr>
          <w:rFonts w:ascii="Arial" w:hAnsi="Arial" w:cs="Arial"/>
          <w:i/>
          <w:u w:val="single"/>
        </w:rPr>
        <w:t xml:space="preserve"> </w:t>
      </w:r>
      <w:r w:rsidR="00CB5062" w:rsidRPr="00CB5062">
        <w:rPr>
          <w:rFonts w:ascii="Arial" w:hAnsi="Arial" w:cs="Arial"/>
          <w:i/>
          <w:u w:val="single"/>
        </w:rPr>
        <w:t>they were generated</w:t>
      </w:r>
    </w:p>
    <w:p w:rsidR="003C06BC" w:rsidRPr="003178C3" w:rsidRDefault="003C06BC" w:rsidP="0069693E">
      <w:pPr>
        <w:pStyle w:val="NoSpacing"/>
        <w:rPr>
          <w:rFonts w:ascii="Arial" w:hAnsi="Arial" w:cs="Arial"/>
          <w:i/>
          <w:u w:val="single"/>
        </w:rPr>
      </w:pPr>
      <w:r w:rsidRPr="003C06BC">
        <w:rPr>
          <w:rFonts w:ascii="Arial" w:hAnsi="Arial" w:cs="Arial"/>
          <w:highlight w:val="yellow"/>
        </w:rPr>
        <w:t xml:space="preserve">Type of insert: </w:t>
      </w:r>
      <w:r w:rsidRPr="003178C3">
        <w:rPr>
          <w:rFonts w:ascii="Arial" w:hAnsi="Arial" w:cs="Arial"/>
          <w:i/>
        </w:rPr>
        <w:t xml:space="preserve">For example: </w:t>
      </w:r>
      <w:r w:rsidRPr="003178C3">
        <w:rPr>
          <w:rFonts w:ascii="Arial" w:hAnsi="Arial" w:cs="Arial"/>
          <w:i/>
          <w:u w:val="single"/>
        </w:rPr>
        <w:t xml:space="preserve">Fluorescent protein, non-oncogene, oncogene, </w:t>
      </w:r>
      <w:proofErr w:type="gramStart"/>
      <w:r w:rsidRPr="003178C3">
        <w:rPr>
          <w:rFonts w:ascii="Arial" w:hAnsi="Arial" w:cs="Arial"/>
          <w:i/>
          <w:u w:val="single"/>
        </w:rPr>
        <w:t>gene</w:t>
      </w:r>
      <w:proofErr w:type="gramEnd"/>
      <w:r w:rsidRPr="003178C3">
        <w:rPr>
          <w:rFonts w:ascii="Arial" w:hAnsi="Arial" w:cs="Arial"/>
          <w:i/>
          <w:u w:val="single"/>
        </w:rPr>
        <w:t xml:space="preserve"> that knocks out tumor suppressor gene, toxic gene</w:t>
      </w:r>
    </w:p>
    <w:p w:rsidR="00422DF4" w:rsidRPr="009B047B" w:rsidRDefault="00422DF4" w:rsidP="0069693E">
      <w:pPr>
        <w:pStyle w:val="NoSpacing"/>
        <w:rPr>
          <w:rFonts w:ascii="Arial" w:hAnsi="Arial" w:cs="Arial"/>
        </w:rPr>
      </w:pPr>
    </w:p>
    <w:p w:rsidR="00422DF4" w:rsidRPr="0069693E" w:rsidRDefault="00422DF4" w:rsidP="0069693E">
      <w:pPr>
        <w:pStyle w:val="NoSpacing"/>
        <w:pBdr>
          <w:bottom w:val="single" w:sz="12" w:space="1" w:color="FFC000"/>
        </w:pBdr>
        <w:rPr>
          <w:rFonts w:asciiTheme="majorHAnsi" w:hAnsiTheme="majorHAnsi" w:cs="Arial"/>
          <w:color w:val="17365D" w:themeColor="text2" w:themeShade="BF"/>
          <w:sz w:val="32"/>
          <w:szCs w:val="32"/>
        </w:rPr>
      </w:pPr>
      <w:r w:rsidRPr="0069693E">
        <w:rPr>
          <w:rFonts w:asciiTheme="majorHAnsi" w:hAnsiTheme="majorHAnsi" w:cs="Arial"/>
          <w:color w:val="17365D" w:themeColor="text2" w:themeShade="BF"/>
          <w:sz w:val="32"/>
          <w:szCs w:val="32"/>
        </w:rPr>
        <w:t>Modes of Transmission</w:t>
      </w:r>
    </w:p>
    <w:p w:rsidR="004009E9" w:rsidRPr="009B047B" w:rsidRDefault="004009E9" w:rsidP="0069693E">
      <w:pPr>
        <w:pStyle w:val="NoSpacing"/>
        <w:rPr>
          <w:rFonts w:ascii="Arial" w:hAnsi="Arial" w:cs="Arial"/>
        </w:rPr>
      </w:pPr>
      <w:r w:rsidRPr="009B047B">
        <w:rPr>
          <w:rFonts w:ascii="Arial" w:hAnsi="Arial" w:cs="Arial"/>
        </w:rPr>
        <w:t xml:space="preserve">The most probable route of exposure for this work would be dermal via sharps (needle-sticks), absorption through exposed scratches or abrasions on skin, or mucous membrane exposure of the eyes, nose, and mouth.  Another route would be inhalation via aerosols depending on the use of equipment such as centrifuges or vortex mixers.  </w:t>
      </w:r>
    </w:p>
    <w:p w:rsidR="001648F0" w:rsidRPr="009B047B" w:rsidRDefault="001648F0" w:rsidP="0069693E">
      <w:pPr>
        <w:pStyle w:val="NoSpacing"/>
        <w:rPr>
          <w:rFonts w:ascii="Arial" w:hAnsi="Arial" w:cs="Arial"/>
        </w:rPr>
      </w:pPr>
    </w:p>
    <w:p w:rsidR="0092768B" w:rsidRPr="0069693E" w:rsidRDefault="0092768B" w:rsidP="0069693E">
      <w:pPr>
        <w:pStyle w:val="NoSpacing"/>
        <w:pBdr>
          <w:bottom w:val="single" w:sz="12" w:space="1" w:color="FFC000"/>
        </w:pBdr>
        <w:rPr>
          <w:rFonts w:asciiTheme="majorHAnsi" w:hAnsiTheme="majorHAnsi" w:cs="Arial"/>
          <w:color w:val="17365D" w:themeColor="text2" w:themeShade="BF"/>
          <w:sz w:val="32"/>
          <w:szCs w:val="32"/>
        </w:rPr>
      </w:pPr>
      <w:r w:rsidRPr="0069693E">
        <w:rPr>
          <w:rFonts w:asciiTheme="majorHAnsi" w:hAnsiTheme="majorHAnsi" w:cs="Arial"/>
          <w:color w:val="17365D" w:themeColor="text2" w:themeShade="BF"/>
          <w:sz w:val="32"/>
          <w:szCs w:val="32"/>
        </w:rPr>
        <w:t>Biosafety requirements and procedures</w:t>
      </w:r>
    </w:p>
    <w:p w:rsidR="0092768B" w:rsidRDefault="0092768B" w:rsidP="0069693E">
      <w:pPr>
        <w:pStyle w:val="ListParagraph"/>
        <w:numPr>
          <w:ilvl w:val="0"/>
          <w:numId w:val="1"/>
        </w:numPr>
        <w:rPr>
          <w:rFonts w:ascii="Arial" w:hAnsi="Arial" w:cs="Arial"/>
          <w:sz w:val="22"/>
          <w:szCs w:val="22"/>
        </w:rPr>
      </w:pPr>
      <w:r w:rsidRPr="009B047B">
        <w:rPr>
          <w:rFonts w:ascii="Arial" w:hAnsi="Arial" w:cs="Arial"/>
          <w:sz w:val="22"/>
          <w:szCs w:val="22"/>
          <w:u w:val="single"/>
        </w:rPr>
        <w:t>Physical Containment</w:t>
      </w:r>
      <w:r w:rsidRPr="009B047B">
        <w:rPr>
          <w:rFonts w:ascii="Arial" w:hAnsi="Arial" w:cs="Arial"/>
          <w:sz w:val="22"/>
          <w:szCs w:val="22"/>
        </w:rPr>
        <w:t xml:space="preserve">.  All work with </w:t>
      </w:r>
      <w:r w:rsidR="00887278">
        <w:rPr>
          <w:rFonts w:ascii="Arial" w:hAnsi="Arial" w:cs="Arial"/>
          <w:sz w:val="22"/>
          <w:szCs w:val="22"/>
        </w:rPr>
        <w:t>retroviral</w:t>
      </w:r>
      <w:r w:rsidRPr="009B047B">
        <w:rPr>
          <w:rFonts w:ascii="Arial" w:hAnsi="Arial" w:cs="Arial"/>
          <w:sz w:val="22"/>
          <w:szCs w:val="22"/>
        </w:rPr>
        <w:t xml:space="preserve"> vectors must be performed in a BSL2 laboratory or BSL2+ laboratory if the insert is an oncogene or involves deletion of tumor suppres</w:t>
      </w:r>
      <w:r w:rsidR="00CD4463">
        <w:rPr>
          <w:rFonts w:ascii="Arial" w:hAnsi="Arial" w:cs="Arial"/>
          <w:sz w:val="22"/>
          <w:szCs w:val="22"/>
        </w:rPr>
        <w:t>so</w:t>
      </w:r>
      <w:r w:rsidRPr="009B047B">
        <w:rPr>
          <w:rFonts w:ascii="Arial" w:hAnsi="Arial" w:cs="Arial"/>
          <w:sz w:val="22"/>
          <w:szCs w:val="22"/>
        </w:rPr>
        <w:t xml:space="preserve">r gene. This includes but is not limited to a room suitable for tissue culture and equipped with a certified Class II Biosafety Cabinet (BSC). </w:t>
      </w:r>
      <w:r w:rsidR="00DA551E" w:rsidRPr="009B047B">
        <w:rPr>
          <w:rFonts w:ascii="Arial" w:hAnsi="Arial" w:cs="Arial"/>
          <w:sz w:val="22"/>
          <w:szCs w:val="22"/>
        </w:rPr>
        <w:t>Access to the laboratory must be</w:t>
      </w:r>
      <w:r w:rsidR="00DA551E" w:rsidRPr="009B047B">
        <w:rPr>
          <w:rFonts w:ascii="Arial" w:hAnsi="Arial" w:cs="Arial"/>
        </w:rPr>
        <w:t xml:space="preserve"> </w:t>
      </w:r>
      <w:r w:rsidR="00DA551E" w:rsidRPr="009B047B">
        <w:rPr>
          <w:rFonts w:ascii="Arial" w:hAnsi="Arial" w:cs="Arial"/>
          <w:sz w:val="22"/>
          <w:szCs w:val="22"/>
        </w:rPr>
        <w:t xml:space="preserve">limited when the agent is in use. </w:t>
      </w:r>
      <w:r w:rsidRPr="009B047B">
        <w:rPr>
          <w:rFonts w:ascii="Arial" w:hAnsi="Arial" w:cs="Arial"/>
          <w:sz w:val="22"/>
          <w:szCs w:val="22"/>
        </w:rPr>
        <w:t xml:space="preserve"> Vacuum lines to be used for aspiration must be equipped with an in-line HEPA filter and a vacuum flask.  If virus will be concentrated in an ultracentrifuge, rotors must be equipped with features (e.g., sealing </w:t>
      </w:r>
      <w:proofErr w:type="spellStart"/>
      <w:r w:rsidRPr="009B047B">
        <w:rPr>
          <w:rFonts w:ascii="Arial" w:hAnsi="Arial" w:cs="Arial"/>
          <w:sz w:val="22"/>
          <w:szCs w:val="22"/>
        </w:rPr>
        <w:t>o-rings</w:t>
      </w:r>
      <w:proofErr w:type="spellEnd"/>
      <w:r w:rsidRPr="009B047B">
        <w:rPr>
          <w:rFonts w:ascii="Arial" w:hAnsi="Arial" w:cs="Arial"/>
          <w:sz w:val="22"/>
          <w:szCs w:val="22"/>
        </w:rPr>
        <w:t xml:space="preserve">) to minimize the risk of aerosol generation.  Low-speed swinging-bucket centrifuge buckets must be equipped with aerosol-tight safety covers.  </w:t>
      </w:r>
      <w:proofErr w:type="spellStart"/>
      <w:r w:rsidRPr="009B047B">
        <w:rPr>
          <w:rFonts w:ascii="Arial" w:hAnsi="Arial" w:cs="Arial"/>
          <w:sz w:val="22"/>
          <w:szCs w:val="22"/>
        </w:rPr>
        <w:t>Microcentrifuges</w:t>
      </w:r>
      <w:proofErr w:type="spellEnd"/>
      <w:r w:rsidRPr="009B047B">
        <w:rPr>
          <w:rFonts w:ascii="Arial" w:hAnsi="Arial" w:cs="Arial"/>
          <w:sz w:val="22"/>
          <w:szCs w:val="22"/>
        </w:rPr>
        <w:t xml:space="preserve"> must have aerosol-tight rotors capable of being removed while sealed so that the rotor can be opened/closed in the BSC. Doors must always be kept closed to maintain the BSL2/2+ containment.</w:t>
      </w:r>
      <w:r w:rsidR="00195B50" w:rsidRPr="009B047B">
        <w:rPr>
          <w:rFonts w:ascii="Arial" w:hAnsi="Arial" w:cs="Arial"/>
          <w:sz w:val="22"/>
          <w:szCs w:val="22"/>
        </w:rPr>
        <w:t xml:space="preserve"> </w:t>
      </w:r>
      <w:r w:rsidR="00DC4D3E" w:rsidRPr="00B3763A">
        <w:rPr>
          <w:rFonts w:ascii="Arial" w:hAnsi="Arial" w:cs="Arial"/>
          <w:sz w:val="22"/>
          <w:szCs w:val="22"/>
        </w:rPr>
        <w:t>Please refer to Section IV of the CDC BMBL guidelines for BSL2 and BSL3 (for BSL2+) requirements</w:t>
      </w:r>
      <w:r w:rsidR="00DC4D3E">
        <w:rPr>
          <w:rFonts w:ascii="Arial" w:hAnsi="Arial" w:cs="Arial"/>
          <w:sz w:val="22"/>
          <w:szCs w:val="22"/>
        </w:rPr>
        <w:t>.</w:t>
      </w:r>
      <w:r w:rsidR="00DC4D3E" w:rsidRPr="00B3763A">
        <w:rPr>
          <w:rFonts w:ascii="Arial" w:hAnsi="Arial" w:cs="Arial"/>
          <w:sz w:val="22"/>
          <w:szCs w:val="22"/>
        </w:rPr>
        <w:t xml:space="preserve"> </w:t>
      </w:r>
      <w:r w:rsidR="00195B50" w:rsidRPr="009B047B">
        <w:rPr>
          <w:rFonts w:ascii="Arial" w:hAnsi="Arial" w:cs="Arial"/>
          <w:sz w:val="22"/>
          <w:szCs w:val="22"/>
        </w:rPr>
        <w:t xml:space="preserve"> </w:t>
      </w:r>
    </w:p>
    <w:p w:rsidR="0092768B" w:rsidRPr="009B047B" w:rsidRDefault="0092768B" w:rsidP="0069693E">
      <w:pPr>
        <w:rPr>
          <w:rFonts w:ascii="Arial" w:hAnsi="Arial" w:cs="Arial"/>
          <w:sz w:val="22"/>
          <w:szCs w:val="22"/>
        </w:rPr>
      </w:pPr>
    </w:p>
    <w:p w:rsidR="0092768B" w:rsidRDefault="0092768B" w:rsidP="0069693E">
      <w:pPr>
        <w:pStyle w:val="ListParagraph"/>
        <w:numPr>
          <w:ilvl w:val="0"/>
          <w:numId w:val="1"/>
        </w:numPr>
        <w:rPr>
          <w:rFonts w:ascii="Arial" w:hAnsi="Arial" w:cs="Arial"/>
          <w:sz w:val="22"/>
          <w:szCs w:val="22"/>
        </w:rPr>
      </w:pPr>
      <w:r w:rsidRPr="009B047B">
        <w:rPr>
          <w:rFonts w:ascii="Arial" w:hAnsi="Arial" w:cs="Arial"/>
          <w:sz w:val="22"/>
          <w:szCs w:val="22"/>
          <w:u w:val="single"/>
        </w:rPr>
        <w:t>Personal Protective Equipment (PPE)</w:t>
      </w:r>
      <w:r w:rsidRPr="009B047B">
        <w:rPr>
          <w:rFonts w:ascii="Arial" w:hAnsi="Arial" w:cs="Arial"/>
          <w:sz w:val="22"/>
          <w:szCs w:val="22"/>
        </w:rPr>
        <w:t xml:space="preserve">.  The following PPE </w:t>
      </w:r>
      <w:r w:rsidR="00CD4463">
        <w:rPr>
          <w:rFonts w:ascii="Arial" w:hAnsi="Arial" w:cs="Arial"/>
          <w:sz w:val="22"/>
          <w:szCs w:val="22"/>
        </w:rPr>
        <w:t xml:space="preserve">must be worn when working with </w:t>
      </w:r>
      <w:r w:rsidR="00887278">
        <w:rPr>
          <w:rFonts w:ascii="Arial" w:hAnsi="Arial" w:cs="Arial"/>
          <w:sz w:val="22"/>
          <w:szCs w:val="22"/>
        </w:rPr>
        <w:t>retroviral</w:t>
      </w:r>
      <w:r w:rsidRPr="009B047B">
        <w:rPr>
          <w:rFonts w:ascii="Arial" w:hAnsi="Arial" w:cs="Arial"/>
          <w:sz w:val="22"/>
          <w:szCs w:val="22"/>
        </w:rPr>
        <w:t xml:space="preserve"> vectors:  gloves (double gloves for BSL2+) and lab coat (dedicated lab coat for BSL2+).  A surgical mask and eye protection (goggles) or face shield is optional, but recommended any time there i</w:t>
      </w:r>
      <w:r w:rsidR="000C27A9">
        <w:rPr>
          <w:rFonts w:ascii="Arial" w:hAnsi="Arial" w:cs="Arial"/>
          <w:sz w:val="22"/>
          <w:szCs w:val="22"/>
        </w:rPr>
        <w:t>s a risk of aerosol/splash/spray</w:t>
      </w:r>
      <w:r w:rsidR="00CD4463">
        <w:rPr>
          <w:rFonts w:ascii="Arial" w:hAnsi="Arial" w:cs="Arial"/>
          <w:sz w:val="22"/>
          <w:szCs w:val="22"/>
        </w:rPr>
        <w:t xml:space="preserve"> of </w:t>
      </w:r>
      <w:r w:rsidR="00887278">
        <w:rPr>
          <w:rFonts w:ascii="Arial" w:hAnsi="Arial" w:cs="Arial"/>
          <w:sz w:val="22"/>
          <w:szCs w:val="22"/>
        </w:rPr>
        <w:t>retroviral</w:t>
      </w:r>
      <w:r w:rsidRPr="009B047B">
        <w:rPr>
          <w:rFonts w:ascii="Arial" w:hAnsi="Arial" w:cs="Arial"/>
          <w:sz w:val="22"/>
          <w:szCs w:val="22"/>
        </w:rPr>
        <w:t xml:space="preserve"> particles </w:t>
      </w:r>
      <w:r w:rsidRPr="009B047B">
        <w:rPr>
          <w:rFonts w:ascii="Arial" w:hAnsi="Arial" w:cs="Arial"/>
          <w:sz w:val="22"/>
          <w:szCs w:val="22"/>
        </w:rPr>
        <w:lastRenderedPageBreak/>
        <w:t xml:space="preserve">to the face outside the BSC. </w:t>
      </w:r>
      <w:r w:rsidR="00CD4463">
        <w:rPr>
          <w:rFonts w:ascii="Arial" w:hAnsi="Arial" w:cs="Arial"/>
          <w:sz w:val="22"/>
          <w:szCs w:val="22"/>
        </w:rPr>
        <w:t>In some case a N95 respirator (annual fit testing required) might be required.</w:t>
      </w:r>
      <w:r w:rsidRPr="009B047B">
        <w:rPr>
          <w:rFonts w:ascii="Arial" w:hAnsi="Arial" w:cs="Arial"/>
          <w:sz w:val="22"/>
          <w:szCs w:val="22"/>
        </w:rPr>
        <w:t xml:space="preserve"> </w:t>
      </w:r>
    </w:p>
    <w:p w:rsidR="0092768B" w:rsidRPr="009B047B" w:rsidRDefault="0092768B" w:rsidP="0069693E">
      <w:pPr>
        <w:pStyle w:val="ListParagraph"/>
        <w:rPr>
          <w:rFonts w:ascii="Arial" w:hAnsi="Arial" w:cs="Arial"/>
          <w:sz w:val="22"/>
          <w:szCs w:val="22"/>
        </w:rPr>
      </w:pPr>
    </w:p>
    <w:p w:rsidR="0092768B" w:rsidRDefault="0092768B" w:rsidP="0069693E">
      <w:pPr>
        <w:pStyle w:val="ListParagraph"/>
        <w:numPr>
          <w:ilvl w:val="0"/>
          <w:numId w:val="1"/>
        </w:numPr>
        <w:rPr>
          <w:rFonts w:ascii="Arial" w:hAnsi="Arial" w:cs="Arial"/>
          <w:sz w:val="22"/>
          <w:szCs w:val="22"/>
        </w:rPr>
      </w:pPr>
      <w:r w:rsidRPr="009B047B">
        <w:rPr>
          <w:rFonts w:ascii="Arial" w:hAnsi="Arial" w:cs="Arial"/>
          <w:sz w:val="22"/>
          <w:szCs w:val="22"/>
          <w:u w:val="single"/>
        </w:rPr>
        <w:t>Spill Kit</w:t>
      </w:r>
      <w:r w:rsidRPr="009B047B">
        <w:rPr>
          <w:rFonts w:ascii="Arial" w:hAnsi="Arial" w:cs="Arial"/>
          <w:sz w:val="22"/>
          <w:szCs w:val="22"/>
        </w:rPr>
        <w:t>.  The lab must have a spill kit, or the components of such readily accessible in the event of a spill.  This comprises:  an easy-to-read outline of the spill response SOP; gloves, masks, goggles, clean lab gown or lab coat, paper towels to absorb contaminated liquids, disinfectant, tongs or forceps to pick up broken glass and a red biohazard bag.</w:t>
      </w:r>
    </w:p>
    <w:p w:rsidR="002D2E54" w:rsidRPr="002D2E54" w:rsidRDefault="002D2E54" w:rsidP="002D2E54">
      <w:pPr>
        <w:pStyle w:val="ListParagraph"/>
        <w:rPr>
          <w:rFonts w:ascii="Arial" w:hAnsi="Arial" w:cs="Arial"/>
          <w:sz w:val="22"/>
          <w:szCs w:val="22"/>
        </w:rPr>
      </w:pPr>
    </w:p>
    <w:p w:rsidR="0092768B" w:rsidRPr="009B047B" w:rsidRDefault="0092768B" w:rsidP="0069693E">
      <w:pPr>
        <w:pStyle w:val="ListParagraph"/>
        <w:numPr>
          <w:ilvl w:val="0"/>
          <w:numId w:val="1"/>
        </w:numPr>
        <w:rPr>
          <w:rFonts w:ascii="Arial" w:hAnsi="Arial" w:cs="Arial"/>
          <w:sz w:val="22"/>
          <w:szCs w:val="22"/>
        </w:rPr>
      </w:pPr>
      <w:r w:rsidRPr="009B047B">
        <w:rPr>
          <w:rFonts w:ascii="Arial" w:hAnsi="Arial" w:cs="Arial"/>
          <w:sz w:val="22"/>
          <w:szCs w:val="22"/>
          <w:u w:val="single"/>
        </w:rPr>
        <w:t xml:space="preserve">General Procedures for working with </w:t>
      </w:r>
      <w:r w:rsidR="00887278">
        <w:rPr>
          <w:rFonts w:ascii="Arial" w:hAnsi="Arial" w:cs="Arial"/>
          <w:sz w:val="22"/>
          <w:szCs w:val="22"/>
          <w:u w:val="single"/>
        </w:rPr>
        <w:t>Retrovirus</w:t>
      </w:r>
      <w:r w:rsidR="00195B50" w:rsidRPr="009B047B">
        <w:rPr>
          <w:rFonts w:ascii="Arial" w:hAnsi="Arial" w:cs="Arial"/>
          <w:sz w:val="22"/>
          <w:szCs w:val="22"/>
        </w:rPr>
        <w:t xml:space="preserve">: </w:t>
      </w:r>
      <w:r w:rsidRPr="009B047B">
        <w:rPr>
          <w:rFonts w:ascii="Arial" w:hAnsi="Arial" w:cs="Arial"/>
          <w:sz w:val="22"/>
          <w:szCs w:val="22"/>
        </w:rPr>
        <w:t xml:space="preserve">Standard BSL2 practices should be employed, including a prohibition of eating, drinking, food storage, handling of contact lenses, applying lipstick or lip balm, mouth </w:t>
      </w:r>
      <w:proofErr w:type="spellStart"/>
      <w:r w:rsidRPr="009B047B">
        <w:rPr>
          <w:rFonts w:ascii="Arial" w:hAnsi="Arial" w:cs="Arial"/>
          <w:sz w:val="22"/>
          <w:szCs w:val="22"/>
        </w:rPr>
        <w:t>pipeting</w:t>
      </w:r>
      <w:proofErr w:type="spellEnd"/>
      <w:r w:rsidRPr="009B047B">
        <w:rPr>
          <w:rFonts w:ascii="Arial" w:hAnsi="Arial" w:cs="Arial"/>
          <w:sz w:val="22"/>
          <w:szCs w:val="22"/>
        </w:rPr>
        <w:t>, and a requirement of appropriate PPE.  Additional practices include the following recommendations:</w:t>
      </w:r>
    </w:p>
    <w:p w:rsidR="0092768B" w:rsidRPr="009B047B" w:rsidRDefault="0092768B" w:rsidP="0069693E">
      <w:pPr>
        <w:rPr>
          <w:rFonts w:ascii="Arial" w:hAnsi="Arial" w:cs="Arial"/>
          <w:sz w:val="22"/>
          <w:szCs w:val="22"/>
        </w:rPr>
      </w:pPr>
      <w:r w:rsidRPr="009B047B">
        <w:rPr>
          <w:rFonts w:ascii="Arial" w:hAnsi="Arial" w:cs="Arial"/>
          <w:sz w:val="22"/>
          <w:szCs w:val="22"/>
        </w:rPr>
        <w:t xml:space="preserve"> </w:t>
      </w:r>
    </w:p>
    <w:p w:rsidR="0092768B" w:rsidRPr="009B047B" w:rsidRDefault="0092768B" w:rsidP="0069693E">
      <w:pPr>
        <w:pStyle w:val="ListParagraph"/>
        <w:numPr>
          <w:ilvl w:val="1"/>
          <w:numId w:val="1"/>
        </w:numPr>
        <w:rPr>
          <w:rFonts w:ascii="Arial" w:hAnsi="Arial" w:cs="Arial"/>
          <w:sz w:val="22"/>
          <w:szCs w:val="22"/>
        </w:rPr>
      </w:pPr>
      <w:r w:rsidRPr="009B047B">
        <w:rPr>
          <w:rFonts w:ascii="Arial" w:hAnsi="Arial" w:cs="Arial"/>
          <w:sz w:val="22"/>
          <w:szCs w:val="22"/>
          <w:u w:val="single"/>
        </w:rPr>
        <w:t>Biosafety Cabinet</w:t>
      </w:r>
      <w:r w:rsidRPr="009B047B">
        <w:rPr>
          <w:rFonts w:ascii="Arial" w:hAnsi="Arial" w:cs="Arial"/>
          <w:sz w:val="22"/>
          <w:szCs w:val="22"/>
        </w:rPr>
        <w:t xml:space="preserve">:  If the blower on the BSC is not left on continuously, it should be turned on and run for 3 minutes to allow complete exchanges of air before work can begin.   At the beginning of the work session, plastic-backed absorbent toweling can be placed on the work surface (optional), but not obstructing air flow. Alternatively, the stainless steel work surface can be wiped down with 70% Ethanol.  At the end of the work session, all items to be removed from the BSC must be decontaminated.  The surface of the BSC must be wiped down with an effective disinfectant including 10% fresh bleach followed by 70% Ethanol.  </w:t>
      </w:r>
    </w:p>
    <w:p w:rsidR="002D2E54" w:rsidRPr="002D2E54" w:rsidRDefault="002D2E54" w:rsidP="002D2E54">
      <w:pPr>
        <w:ind w:left="1440"/>
        <w:rPr>
          <w:rFonts w:ascii="Arial" w:hAnsi="Arial" w:cs="Arial"/>
          <w:sz w:val="22"/>
          <w:szCs w:val="22"/>
        </w:rPr>
      </w:pPr>
    </w:p>
    <w:p w:rsidR="0092768B" w:rsidRDefault="0092768B" w:rsidP="0069693E">
      <w:pPr>
        <w:numPr>
          <w:ilvl w:val="1"/>
          <w:numId w:val="1"/>
        </w:numPr>
        <w:rPr>
          <w:rFonts w:ascii="Arial" w:hAnsi="Arial" w:cs="Arial"/>
          <w:sz w:val="22"/>
          <w:szCs w:val="22"/>
        </w:rPr>
      </w:pPr>
      <w:r w:rsidRPr="009B047B">
        <w:rPr>
          <w:rFonts w:ascii="Arial" w:hAnsi="Arial" w:cs="Arial"/>
          <w:sz w:val="22"/>
          <w:szCs w:val="22"/>
          <w:u w:val="single"/>
        </w:rPr>
        <w:t>Sharps</w:t>
      </w:r>
      <w:r w:rsidRPr="009B047B">
        <w:rPr>
          <w:rFonts w:ascii="Arial" w:hAnsi="Arial" w:cs="Arial"/>
          <w:sz w:val="22"/>
          <w:szCs w:val="22"/>
        </w:rPr>
        <w:t xml:space="preserve"> should be avoided whenever possible. Plastic aspirating pipets </w:t>
      </w:r>
      <w:r w:rsidR="00255AAF" w:rsidRPr="009B047B">
        <w:rPr>
          <w:rFonts w:ascii="Arial" w:hAnsi="Arial" w:cs="Arial"/>
          <w:sz w:val="22"/>
          <w:szCs w:val="22"/>
        </w:rPr>
        <w:t>(</w:t>
      </w:r>
      <w:hyperlink r:id="rId9" w:history="1">
        <w:r w:rsidR="00255AAF" w:rsidRPr="009B047B">
          <w:rPr>
            <w:rStyle w:val="Hyperlink"/>
            <w:rFonts w:ascii="Arial" w:hAnsi="Arial" w:cs="Arial"/>
            <w:color w:val="auto"/>
            <w:sz w:val="22"/>
            <w:szCs w:val="22"/>
          </w:rPr>
          <w:t>http://www.thomassci.com/Supplies/Pipets/_/Plasteur-Plastic-Pasteur-Pipets/</w:t>
        </w:r>
      </w:hyperlink>
      <w:r w:rsidR="00255AAF" w:rsidRPr="009B047B">
        <w:rPr>
          <w:rFonts w:ascii="Arial" w:hAnsi="Arial" w:cs="Arial"/>
          <w:sz w:val="22"/>
          <w:szCs w:val="22"/>
        </w:rPr>
        <w:t xml:space="preserve"> ) </w:t>
      </w:r>
      <w:r w:rsidRPr="009B047B">
        <w:rPr>
          <w:rFonts w:ascii="Arial" w:hAnsi="Arial" w:cs="Arial"/>
          <w:sz w:val="22"/>
          <w:szCs w:val="22"/>
        </w:rPr>
        <w:t>should be substituted for glass Pasteur pipets.  If needles are required, they must never be re-capped, and must be disposed of in a sharps waste container</w:t>
      </w:r>
      <w:r w:rsidR="00255AAF" w:rsidRPr="009B047B">
        <w:rPr>
          <w:rFonts w:ascii="Arial" w:hAnsi="Arial" w:cs="Arial"/>
          <w:sz w:val="22"/>
          <w:szCs w:val="22"/>
        </w:rPr>
        <w:t xml:space="preserve"> immediately after use. While working with sharps inside the BSC, the sharps container must be kept inside the BSC.</w:t>
      </w:r>
    </w:p>
    <w:p w:rsidR="00CD4463" w:rsidRPr="00CD4463" w:rsidRDefault="00CD4463" w:rsidP="0069693E">
      <w:pPr>
        <w:ind w:left="2160"/>
        <w:rPr>
          <w:rFonts w:ascii="Arial" w:hAnsi="Arial" w:cs="Arial"/>
          <w:sz w:val="22"/>
          <w:szCs w:val="22"/>
        </w:rPr>
      </w:pPr>
    </w:p>
    <w:p w:rsidR="0092768B" w:rsidRPr="009B047B" w:rsidRDefault="0092768B" w:rsidP="0069693E">
      <w:pPr>
        <w:pStyle w:val="ListParagraph"/>
        <w:numPr>
          <w:ilvl w:val="1"/>
          <w:numId w:val="1"/>
        </w:numPr>
        <w:rPr>
          <w:rFonts w:ascii="Arial" w:hAnsi="Arial" w:cs="Arial"/>
          <w:sz w:val="22"/>
          <w:szCs w:val="22"/>
        </w:rPr>
      </w:pPr>
      <w:r w:rsidRPr="009B047B">
        <w:rPr>
          <w:rFonts w:ascii="Arial" w:hAnsi="Arial" w:cs="Arial"/>
          <w:sz w:val="22"/>
          <w:szCs w:val="22"/>
          <w:u w:val="single"/>
        </w:rPr>
        <w:t>Solid Waste:</w:t>
      </w:r>
      <w:r w:rsidRPr="009B047B">
        <w:rPr>
          <w:rFonts w:ascii="Arial" w:hAnsi="Arial" w:cs="Arial"/>
          <w:sz w:val="22"/>
          <w:szCs w:val="22"/>
        </w:rPr>
        <w:t xml:space="preserve">  Everything that comes in contact with the </w:t>
      </w:r>
      <w:r w:rsidR="00887278">
        <w:rPr>
          <w:rFonts w:ascii="Arial" w:hAnsi="Arial" w:cs="Arial"/>
          <w:sz w:val="22"/>
          <w:szCs w:val="22"/>
        </w:rPr>
        <w:t>retroviral</w:t>
      </w:r>
      <w:r w:rsidRPr="009B047B">
        <w:rPr>
          <w:rFonts w:ascii="Arial" w:hAnsi="Arial" w:cs="Arial"/>
          <w:sz w:val="22"/>
          <w:szCs w:val="22"/>
        </w:rPr>
        <w:t xml:space="preserve"> material must be decontaminated before exiting the </w:t>
      </w:r>
      <w:r w:rsidRPr="009B047B">
        <w:rPr>
          <w:rFonts w:ascii="Arial" w:hAnsi="Arial" w:cs="Arial"/>
          <w:sz w:val="22"/>
          <w:szCs w:val="22"/>
          <w:u w:val="single"/>
        </w:rPr>
        <w:t>biosafety cabinet</w:t>
      </w:r>
      <w:r w:rsidRPr="009B047B">
        <w:rPr>
          <w:rFonts w:ascii="Arial" w:hAnsi="Arial" w:cs="Arial"/>
          <w:sz w:val="22"/>
          <w:szCs w:val="22"/>
        </w:rPr>
        <w:t>.  Solid waste</w:t>
      </w:r>
      <w:r w:rsidR="00255AAF" w:rsidRPr="009B047B">
        <w:rPr>
          <w:rFonts w:ascii="Arial" w:hAnsi="Arial" w:cs="Arial"/>
          <w:sz w:val="22"/>
          <w:szCs w:val="22"/>
        </w:rPr>
        <w:t xml:space="preserve"> including pipet tips and tubes</w:t>
      </w:r>
      <w:r w:rsidRPr="009B047B">
        <w:rPr>
          <w:rFonts w:ascii="Arial" w:hAnsi="Arial" w:cs="Arial"/>
          <w:sz w:val="22"/>
          <w:szCs w:val="22"/>
        </w:rPr>
        <w:t xml:space="preserve"> can be collected in a biohazard bag inside the Biosafety Cabinet.  </w:t>
      </w:r>
      <w:r w:rsidR="00255AAF" w:rsidRPr="009B047B">
        <w:rPr>
          <w:rFonts w:ascii="Arial" w:hAnsi="Arial" w:cs="Arial"/>
          <w:sz w:val="22"/>
          <w:szCs w:val="22"/>
        </w:rPr>
        <w:t>The biohazard bag must be inside a leak</w:t>
      </w:r>
      <w:r w:rsidR="00E32EDA">
        <w:rPr>
          <w:rFonts w:ascii="Arial" w:hAnsi="Arial" w:cs="Arial"/>
          <w:sz w:val="22"/>
          <w:szCs w:val="22"/>
        </w:rPr>
        <w:t>-</w:t>
      </w:r>
      <w:r w:rsidR="00255AAF" w:rsidRPr="009B047B">
        <w:rPr>
          <w:rFonts w:ascii="Arial" w:hAnsi="Arial" w:cs="Arial"/>
          <w:sz w:val="22"/>
          <w:szCs w:val="22"/>
        </w:rPr>
        <w:t xml:space="preserve">proof, rigid container with a tight fitting lid and labeled biohazard. Another option is to fill a plastic container with some bleach and put the solids inside this container while carrying out the procedure. </w:t>
      </w:r>
      <w:r w:rsidRPr="009B047B">
        <w:rPr>
          <w:rFonts w:ascii="Arial" w:hAnsi="Arial" w:cs="Arial"/>
          <w:sz w:val="22"/>
          <w:szCs w:val="22"/>
        </w:rPr>
        <w:t>At the end of the work session, the biohazard bag will be closed, outside will be sprayed with 70% Ethanol and deposited into a biohazardous waste container.</w:t>
      </w:r>
      <w:r w:rsidR="00255AAF" w:rsidRPr="009B047B">
        <w:rPr>
          <w:rFonts w:ascii="Arial" w:hAnsi="Arial" w:cs="Arial"/>
          <w:sz w:val="22"/>
          <w:szCs w:val="22"/>
        </w:rPr>
        <w:t xml:space="preserve"> In case of the plastic container with bleach, pretreatment vessel, the bleach can be dumped down the sink with copi</w:t>
      </w:r>
      <w:r w:rsidR="00E32EDA">
        <w:rPr>
          <w:rFonts w:ascii="Arial" w:hAnsi="Arial" w:cs="Arial"/>
          <w:sz w:val="22"/>
          <w:szCs w:val="22"/>
        </w:rPr>
        <w:t>o</w:t>
      </w:r>
      <w:r w:rsidR="00255AAF" w:rsidRPr="009B047B">
        <w:rPr>
          <w:rFonts w:ascii="Arial" w:hAnsi="Arial" w:cs="Arial"/>
          <w:sz w:val="22"/>
          <w:szCs w:val="22"/>
        </w:rPr>
        <w:t>us amount of water and the solid waste can be dumped in the biohazardous waste container.</w:t>
      </w:r>
    </w:p>
    <w:p w:rsidR="0092768B" w:rsidRPr="009B047B" w:rsidRDefault="0092768B" w:rsidP="0069693E">
      <w:pPr>
        <w:rPr>
          <w:rFonts w:ascii="Arial" w:hAnsi="Arial" w:cs="Arial"/>
          <w:sz w:val="22"/>
          <w:szCs w:val="22"/>
        </w:rPr>
      </w:pPr>
      <w:r w:rsidRPr="009B047B">
        <w:rPr>
          <w:rFonts w:ascii="Arial" w:hAnsi="Arial" w:cs="Arial"/>
          <w:sz w:val="22"/>
          <w:szCs w:val="22"/>
        </w:rPr>
        <w:t xml:space="preserve">  </w:t>
      </w:r>
    </w:p>
    <w:p w:rsidR="0092768B" w:rsidRPr="009B047B" w:rsidRDefault="0092768B" w:rsidP="0069693E">
      <w:pPr>
        <w:pStyle w:val="ListParagraph"/>
        <w:numPr>
          <w:ilvl w:val="1"/>
          <w:numId w:val="1"/>
        </w:numPr>
        <w:rPr>
          <w:rFonts w:ascii="Arial" w:hAnsi="Arial" w:cs="Arial"/>
          <w:sz w:val="22"/>
          <w:szCs w:val="22"/>
        </w:rPr>
      </w:pPr>
      <w:r w:rsidRPr="009B047B">
        <w:rPr>
          <w:rFonts w:ascii="Arial" w:hAnsi="Arial" w:cs="Arial"/>
          <w:sz w:val="22"/>
          <w:szCs w:val="22"/>
          <w:u w:val="single"/>
        </w:rPr>
        <w:t>Liquid Waste</w:t>
      </w:r>
      <w:r w:rsidRPr="009B047B">
        <w:rPr>
          <w:rFonts w:ascii="Arial" w:hAnsi="Arial" w:cs="Arial"/>
          <w:sz w:val="22"/>
          <w:szCs w:val="22"/>
        </w:rPr>
        <w:t xml:space="preserve"> is aspirated into a vacuum flask containing 1/10 volume concentrated bleach.  The vacuum flask must have a final concentration of at least 10% bleach, for a minimum time of 30 minutes prior to drain disposal.   </w:t>
      </w:r>
      <w:r w:rsidRPr="00AB6991">
        <w:rPr>
          <w:rFonts w:ascii="Arial" w:hAnsi="Arial" w:cs="Arial"/>
          <w:sz w:val="22"/>
          <w:szCs w:val="22"/>
        </w:rPr>
        <w:t xml:space="preserve">Liquid waste </w:t>
      </w:r>
      <w:r w:rsidR="002B03FE" w:rsidRPr="00AB6991">
        <w:rPr>
          <w:rFonts w:ascii="Arial" w:hAnsi="Arial" w:cs="Arial"/>
          <w:sz w:val="22"/>
          <w:szCs w:val="22"/>
        </w:rPr>
        <w:t>may also be collected in the hood in a simple 500 ml bottle (like a bottle used to store cell culture medium) that contains 50 ml concentrated bleach (10% final v/v). Allow a minimum of 30 minute incubation before pouring down the drain</w:t>
      </w:r>
      <w:r w:rsidRPr="009B047B">
        <w:rPr>
          <w:rFonts w:ascii="Arial" w:hAnsi="Arial" w:cs="Arial"/>
          <w:sz w:val="22"/>
          <w:szCs w:val="22"/>
        </w:rPr>
        <w:t>.</w:t>
      </w:r>
    </w:p>
    <w:p w:rsidR="0092768B" w:rsidRPr="009B047B" w:rsidRDefault="0092768B" w:rsidP="0069693E">
      <w:pPr>
        <w:rPr>
          <w:rFonts w:ascii="Arial" w:hAnsi="Arial" w:cs="Arial"/>
          <w:sz w:val="22"/>
          <w:szCs w:val="22"/>
        </w:rPr>
      </w:pPr>
    </w:p>
    <w:p w:rsidR="0092768B" w:rsidRDefault="0092768B" w:rsidP="0069693E">
      <w:pPr>
        <w:pStyle w:val="ListParagraph"/>
        <w:numPr>
          <w:ilvl w:val="1"/>
          <w:numId w:val="1"/>
        </w:numPr>
        <w:rPr>
          <w:rFonts w:ascii="Arial" w:hAnsi="Arial" w:cs="Arial"/>
          <w:sz w:val="22"/>
          <w:szCs w:val="22"/>
        </w:rPr>
      </w:pPr>
      <w:r w:rsidRPr="009B047B">
        <w:rPr>
          <w:rFonts w:ascii="Arial" w:hAnsi="Arial" w:cs="Arial"/>
          <w:sz w:val="22"/>
          <w:szCs w:val="22"/>
          <w:u w:val="single"/>
        </w:rPr>
        <w:t>Centrifugation.</w:t>
      </w:r>
      <w:r w:rsidRPr="00E32EDA">
        <w:rPr>
          <w:rFonts w:ascii="Arial" w:hAnsi="Arial" w:cs="Arial"/>
          <w:sz w:val="22"/>
          <w:szCs w:val="22"/>
        </w:rPr>
        <w:t xml:space="preserve"> </w:t>
      </w:r>
      <w:r w:rsidRPr="009B047B">
        <w:rPr>
          <w:rFonts w:ascii="Arial" w:hAnsi="Arial" w:cs="Arial"/>
          <w:sz w:val="22"/>
          <w:szCs w:val="22"/>
        </w:rPr>
        <w:t xml:space="preserve"> Centrifuge tubes should be prepared and sealed</w:t>
      </w:r>
      <w:r w:rsidR="00255AAF" w:rsidRPr="009B047B">
        <w:rPr>
          <w:rFonts w:ascii="Arial" w:hAnsi="Arial" w:cs="Arial"/>
          <w:sz w:val="22"/>
          <w:szCs w:val="22"/>
        </w:rPr>
        <w:t>/loaded and unloaded in the rotor/buckets</w:t>
      </w:r>
      <w:r w:rsidRPr="009B047B">
        <w:rPr>
          <w:rFonts w:ascii="Arial" w:hAnsi="Arial" w:cs="Arial"/>
          <w:sz w:val="22"/>
          <w:szCs w:val="22"/>
        </w:rPr>
        <w:t xml:space="preserve"> in the biosafety cabinet.  This includes methods to ensure tubes are properly balanced (unless the balance tube contains no infectious material).  At the end of the procedure, rotors and/or buckets must be decontaminated</w:t>
      </w:r>
      <w:bookmarkStart w:id="1" w:name="_GoBack"/>
      <w:bookmarkEnd w:id="1"/>
      <w:r w:rsidRPr="009B047B">
        <w:rPr>
          <w:rFonts w:ascii="Arial" w:hAnsi="Arial" w:cs="Arial"/>
          <w:sz w:val="22"/>
          <w:szCs w:val="22"/>
        </w:rPr>
        <w:t>.</w:t>
      </w:r>
    </w:p>
    <w:p w:rsidR="00CD4463" w:rsidRPr="00CD4463" w:rsidRDefault="00CD4463" w:rsidP="0069693E">
      <w:pPr>
        <w:pStyle w:val="ListParagraph"/>
        <w:rPr>
          <w:rFonts w:ascii="Arial" w:hAnsi="Arial" w:cs="Arial"/>
          <w:sz w:val="22"/>
          <w:szCs w:val="22"/>
        </w:rPr>
      </w:pPr>
    </w:p>
    <w:p w:rsidR="0092768B" w:rsidRPr="009B047B" w:rsidRDefault="0092768B" w:rsidP="0069693E">
      <w:pPr>
        <w:pStyle w:val="ListParagraph"/>
        <w:numPr>
          <w:ilvl w:val="1"/>
          <w:numId w:val="1"/>
        </w:numPr>
        <w:rPr>
          <w:rFonts w:ascii="Arial" w:hAnsi="Arial" w:cs="Arial"/>
          <w:sz w:val="22"/>
          <w:szCs w:val="22"/>
        </w:rPr>
      </w:pPr>
      <w:proofErr w:type="spellStart"/>
      <w:r w:rsidRPr="009B047B">
        <w:rPr>
          <w:rFonts w:ascii="Arial" w:hAnsi="Arial" w:cs="Arial"/>
          <w:sz w:val="22"/>
          <w:szCs w:val="22"/>
          <w:u w:val="single"/>
        </w:rPr>
        <w:t>Vortexing</w:t>
      </w:r>
      <w:proofErr w:type="spellEnd"/>
      <w:r w:rsidRPr="009B047B">
        <w:rPr>
          <w:rFonts w:ascii="Arial" w:hAnsi="Arial" w:cs="Arial"/>
          <w:sz w:val="22"/>
          <w:szCs w:val="22"/>
        </w:rPr>
        <w:t xml:space="preserve"> must be done in the BSC.</w:t>
      </w:r>
    </w:p>
    <w:p w:rsidR="0092768B" w:rsidRPr="009B047B" w:rsidRDefault="0092768B" w:rsidP="0069693E">
      <w:pPr>
        <w:rPr>
          <w:rFonts w:ascii="Arial" w:hAnsi="Arial" w:cs="Arial"/>
          <w:sz w:val="22"/>
          <w:szCs w:val="22"/>
        </w:rPr>
      </w:pPr>
    </w:p>
    <w:p w:rsidR="00FF424E" w:rsidRPr="009B047B" w:rsidRDefault="0092768B" w:rsidP="00FF424E">
      <w:pPr>
        <w:pStyle w:val="ListParagraph"/>
        <w:numPr>
          <w:ilvl w:val="1"/>
          <w:numId w:val="1"/>
        </w:numPr>
        <w:rPr>
          <w:rFonts w:ascii="Arial" w:hAnsi="Arial" w:cs="Arial"/>
          <w:sz w:val="22"/>
          <w:szCs w:val="22"/>
        </w:rPr>
      </w:pPr>
      <w:r w:rsidRPr="00FF424E">
        <w:rPr>
          <w:rFonts w:ascii="Arial" w:hAnsi="Arial" w:cs="Arial"/>
          <w:sz w:val="22"/>
          <w:szCs w:val="22"/>
        </w:rPr>
        <w:t xml:space="preserve">If </w:t>
      </w:r>
      <w:r w:rsidR="00255AAF" w:rsidRPr="00FF424E">
        <w:rPr>
          <w:rFonts w:ascii="Arial" w:hAnsi="Arial" w:cs="Arial"/>
          <w:sz w:val="22"/>
          <w:szCs w:val="22"/>
        </w:rPr>
        <w:t xml:space="preserve">any materials infected/transduced with viral vectors are to be transported (from one location to another) a secondary container is required. The secondary container must be leak proof, rigid container, with a tight fitting lid and labeled biohazardous. </w:t>
      </w:r>
      <w:r w:rsidR="00FF424E">
        <w:rPr>
          <w:rFonts w:ascii="Arial" w:hAnsi="Arial" w:cs="Arial"/>
          <w:sz w:val="22"/>
          <w:szCs w:val="22"/>
        </w:rPr>
        <w:t>A simple food</w:t>
      </w:r>
      <w:r w:rsidR="00FF424E" w:rsidRPr="009B047B">
        <w:rPr>
          <w:rFonts w:ascii="Arial" w:hAnsi="Arial" w:cs="Arial"/>
          <w:sz w:val="22"/>
          <w:szCs w:val="22"/>
        </w:rPr>
        <w:t xml:space="preserve"> </w:t>
      </w:r>
      <w:r w:rsidR="00FF424E">
        <w:rPr>
          <w:rFonts w:ascii="Arial" w:hAnsi="Arial" w:cs="Arial"/>
          <w:sz w:val="22"/>
          <w:szCs w:val="22"/>
        </w:rPr>
        <w:t xml:space="preserve">storage </w:t>
      </w:r>
      <w:r w:rsidR="00FF424E" w:rsidRPr="009B047B">
        <w:rPr>
          <w:rFonts w:ascii="Arial" w:hAnsi="Arial" w:cs="Arial"/>
          <w:sz w:val="22"/>
          <w:szCs w:val="22"/>
        </w:rPr>
        <w:t>container</w:t>
      </w:r>
      <w:r w:rsidR="00FF424E">
        <w:rPr>
          <w:rFonts w:ascii="Arial" w:hAnsi="Arial" w:cs="Arial"/>
          <w:sz w:val="22"/>
          <w:szCs w:val="22"/>
        </w:rPr>
        <w:t xml:space="preserve"> with a </w:t>
      </w:r>
      <w:proofErr w:type="spellStart"/>
      <w:r w:rsidR="00FF424E">
        <w:rPr>
          <w:rFonts w:ascii="Arial" w:hAnsi="Arial" w:cs="Arial"/>
          <w:sz w:val="22"/>
          <w:szCs w:val="22"/>
        </w:rPr>
        <w:t>latchable</w:t>
      </w:r>
      <w:proofErr w:type="spellEnd"/>
      <w:r w:rsidR="00FF424E">
        <w:rPr>
          <w:rFonts w:ascii="Arial" w:hAnsi="Arial" w:cs="Arial"/>
          <w:sz w:val="22"/>
          <w:szCs w:val="22"/>
        </w:rPr>
        <w:t xml:space="preserve"> lid</w:t>
      </w:r>
      <w:r w:rsidR="00FF424E" w:rsidRPr="009B047B">
        <w:rPr>
          <w:rFonts w:ascii="Arial" w:hAnsi="Arial" w:cs="Arial"/>
          <w:sz w:val="22"/>
          <w:szCs w:val="22"/>
        </w:rPr>
        <w:t xml:space="preserve"> </w:t>
      </w:r>
      <w:r w:rsidR="00CE6F91">
        <w:rPr>
          <w:rFonts w:ascii="Arial" w:hAnsi="Arial" w:cs="Arial"/>
          <w:sz w:val="22"/>
          <w:szCs w:val="22"/>
        </w:rPr>
        <w:t xml:space="preserve">and labeled with a biohazard sticker </w:t>
      </w:r>
      <w:r w:rsidR="00FF424E" w:rsidRPr="009B047B">
        <w:rPr>
          <w:rFonts w:ascii="Arial" w:hAnsi="Arial" w:cs="Arial"/>
          <w:sz w:val="22"/>
          <w:szCs w:val="22"/>
        </w:rPr>
        <w:t>would suffice as a secondary transport container.</w:t>
      </w:r>
    </w:p>
    <w:p w:rsidR="00255AAF" w:rsidRPr="00FF424E" w:rsidRDefault="00255AAF" w:rsidP="00FF424E">
      <w:pPr>
        <w:pStyle w:val="ListParagraph"/>
        <w:ind w:left="1440"/>
        <w:rPr>
          <w:rFonts w:ascii="Arial" w:hAnsi="Arial" w:cs="Arial"/>
          <w:sz w:val="22"/>
          <w:szCs w:val="22"/>
        </w:rPr>
      </w:pPr>
    </w:p>
    <w:p w:rsidR="00195B50" w:rsidRDefault="0092768B" w:rsidP="0069693E">
      <w:pPr>
        <w:pStyle w:val="ListParagraph"/>
        <w:numPr>
          <w:ilvl w:val="1"/>
          <w:numId w:val="1"/>
        </w:numPr>
        <w:rPr>
          <w:rFonts w:ascii="Arial" w:hAnsi="Arial" w:cs="Arial"/>
          <w:sz w:val="22"/>
          <w:szCs w:val="22"/>
        </w:rPr>
      </w:pPr>
      <w:r w:rsidRPr="009B047B">
        <w:rPr>
          <w:rFonts w:ascii="Arial" w:hAnsi="Arial" w:cs="Arial"/>
          <w:sz w:val="22"/>
          <w:szCs w:val="22"/>
          <w:u w:val="single"/>
        </w:rPr>
        <w:t>Storage</w:t>
      </w:r>
      <w:r w:rsidRPr="009B047B">
        <w:rPr>
          <w:rFonts w:ascii="Arial" w:hAnsi="Arial" w:cs="Arial"/>
          <w:sz w:val="22"/>
          <w:szCs w:val="22"/>
        </w:rPr>
        <w:t xml:space="preserve"> of </w:t>
      </w:r>
      <w:r w:rsidR="00887278">
        <w:rPr>
          <w:rFonts w:ascii="Arial" w:hAnsi="Arial" w:cs="Arial"/>
          <w:sz w:val="22"/>
          <w:szCs w:val="22"/>
        </w:rPr>
        <w:t>retroviral</w:t>
      </w:r>
      <w:r w:rsidRPr="009B047B">
        <w:rPr>
          <w:rFonts w:ascii="Arial" w:hAnsi="Arial" w:cs="Arial"/>
          <w:sz w:val="22"/>
          <w:szCs w:val="22"/>
        </w:rPr>
        <w:t xml:space="preserve"> stocks must be in leak-proof secondary containers (i.e. freezer boxes) in a -80° freezer clearly marked with a warning label to indicate that </w:t>
      </w:r>
      <w:r w:rsidR="00887278">
        <w:rPr>
          <w:rFonts w:ascii="Arial" w:hAnsi="Arial" w:cs="Arial"/>
          <w:sz w:val="22"/>
          <w:szCs w:val="22"/>
        </w:rPr>
        <w:t>retrovirus</w:t>
      </w:r>
      <w:r w:rsidRPr="009B047B">
        <w:rPr>
          <w:rFonts w:ascii="Arial" w:hAnsi="Arial" w:cs="Arial"/>
          <w:sz w:val="22"/>
          <w:szCs w:val="22"/>
        </w:rPr>
        <w:t xml:space="preserve"> is present.</w:t>
      </w:r>
    </w:p>
    <w:p w:rsidR="00831E05" w:rsidRPr="00831E05" w:rsidRDefault="00831E05" w:rsidP="0069693E">
      <w:pPr>
        <w:pStyle w:val="ListParagraph"/>
        <w:rPr>
          <w:rFonts w:ascii="Arial" w:hAnsi="Arial" w:cs="Arial"/>
          <w:sz w:val="22"/>
          <w:szCs w:val="22"/>
        </w:rPr>
      </w:pPr>
    </w:p>
    <w:p w:rsidR="0092768B" w:rsidRPr="009B047B" w:rsidRDefault="00195B50" w:rsidP="0069693E">
      <w:pPr>
        <w:pStyle w:val="ListParagraph"/>
        <w:numPr>
          <w:ilvl w:val="1"/>
          <w:numId w:val="1"/>
        </w:numPr>
        <w:rPr>
          <w:rFonts w:ascii="Arial" w:hAnsi="Arial" w:cs="Arial"/>
          <w:sz w:val="22"/>
          <w:szCs w:val="22"/>
        </w:rPr>
      </w:pPr>
      <w:r w:rsidRPr="00831E05">
        <w:rPr>
          <w:rFonts w:ascii="Arial" w:hAnsi="Arial" w:cs="Arial"/>
          <w:sz w:val="22"/>
          <w:szCs w:val="22"/>
          <w:u w:val="single"/>
        </w:rPr>
        <w:t>A</w:t>
      </w:r>
      <w:r w:rsidR="0092768B" w:rsidRPr="00831E05">
        <w:rPr>
          <w:rFonts w:ascii="Arial" w:hAnsi="Arial" w:cs="Arial"/>
          <w:sz w:val="22"/>
          <w:szCs w:val="22"/>
          <w:u w:val="single"/>
        </w:rPr>
        <w:t>nimal Work</w:t>
      </w:r>
      <w:r w:rsidR="0092768B" w:rsidRPr="009B047B">
        <w:rPr>
          <w:rFonts w:ascii="Arial" w:hAnsi="Arial" w:cs="Arial"/>
          <w:sz w:val="22"/>
          <w:szCs w:val="22"/>
        </w:rPr>
        <w:t xml:space="preserve">:  Injections of </w:t>
      </w:r>
      <w:r w:rsidR="00887278">
        <w:rPr>
          <w:rFonts w:ascii="Arial" w:hAnsi="Arial" w:cs="Arial"/>
          <w:sz w:val="22"/>
          <w:szCs w:val="22"/>
        </w:rPr>
        <w:t>retroviral</w:t>
      </w:r>
      <w:r w:rsidR="0092768B" w:rsidRPr="009B047B">
        <w:rPr>
          <w:rFonts w:ascii="Arial" w:hAnsi="Arial" w:cs="Arial"/>
          <w:sz w:val="22"/>
          <w:szCs w:val="22"/>
        </w:rPr>
        <w:t xml:space="preserve"> particles into rodents present a potential </w:t>
      </w:r>
      <w:r w:rsidR="00EC6221" w:rsidRPr="009B047B">
        <w:rPr>
          <w:rFonts w:ascii="Arial" w:hAnsi="Arial" w:cs="Arial"/>
          <w:sz w:val="22"/>
          <w:szCs w:val="22"/>
        </w:rPr>
        <w:t xml:space="preserve">autoinoculation </w:t>
      </w:r>
      <w:r w:rsidR="0092768B" w:rsidRPr="009B047B">
        <w:rPr>
          <w:rFonts w:ascii="Arial" w:hAnsi="Arial" w:cs="Arial"/>
          <w:sz w:val="22"/>
          <w:szCs w:val="22"/>
        </w:rPr>
        <w:t xml:space="preserve">hazard.  Injected rodents </w:t>
      </w:r>
      <w:r w:rsidR="00EC6221" w:rsidRPr="009B047B">
        <w:rPr>
          <w:rFonts w:ascii="Arial" w:hAnsi="Arial" w:cs="Arial"/>
          <w:sz w:val="22"/>
          <w:szCs w:val="22"/>
        </w:rPr>
        <w:t>must be housed at ABSL2</w:t>
      </w:r>
      <w:r w:rsidR="0092768B" w:rsidRPr="009B047B">
        <w:rPr>
          <w:rFonts w:ascii="Arial" w:hAnsi="Arial" w:cs="Arial"/>
          <w:sz w:val="22"/>
          <w:szCs w:val="22"/>
        </w:rPr>
        <w:t xml:space="preserve">.  </w:t>
      </w:r>
    </w:p>
    <w:p w:rsidR="0092768B" w:rsidRPr="009B047B" w:rsidRDefault="0092768B" w:rsidP="0069693E">
      <w:pPr>
        <w:rPr>
          <w:rFonts w:ascii="Arial" w:hAnsi="Arial" w:cs="Arial"/>
          <w:sz w:val="22"/>
          <w:szCs w:val="22"/>
        </w:rPr>
      </w:pPr>
      <w:r w:rsidRPr="009B047B">
        <w:rPr>
          <w:rFonts w:ascii="Arial" w:hAnsi="Arial" w:cs="Arial"/>
          <w:sz w:val="22"/>
          <w:szCs w:val="22"/>
        </w:rPr>
        <w:t xml:space="preserve">  </w:t>
      </w:r>
    </w:p>
    <w:p w:rsidR="009935FE" w:rsidRPr="00831E05" w:rsidRDefault="00831E05" w:rsidP="0069693E">
      <w:pPr>
        <w:pStyle w:val="ListParagraph"/>
        <w:numPr>
          <w:ilvl w:val="0"/>
          <w:numId w:val="1"/>
        </w:numPr>
        <w:rPr>
          <w:rFonts w:ascii="Arial" w:hAnsi="Arial" w:cs="Arial"/>
          <w:b/>
          <w:sz w:val="22"/>
          <w:szCs w:val="22"/>
          <w:u w:val="single"/>
        </w:rPr>
      </w:pPr>
      <w:r w:rsidRPr="00831E05">
        <w:rPr>
          <w:rFonts w:ascii="Arial" w:hAnsi="Arial" w:cs="Arial"/>
          <w:sz w:val="22"/>
          <w:szCs w:val="22"/>
        </w:rPr>
        <w:t>Please refer to the BBP-ECP for spill procedures, medical emergency contact information, reporting and documentation of injury and post exposure evaluation and follow-up</w:t>
      </w:r>
    </w:p>
    <w:p w:rsidR="00831E05" w:rsidRPr="009B047B" w:rsidRDefault="00831E05" w:rsidP="0069693E">
      <w:pPr>
        <w:pStyle w:val="ListParagraph"/>
        <w:rPr>
          <w:rFonts w:ascii="Arial" w:hAnsi="Arial" w:cs="Arial"/>
          <w:b/>
          <w:u w:val="single"/>
        </w:rPr>
      </w:pPr>
    </w:p>
    <w:p w:rsidR="00B46FB7" w:rsidRPr="005F3524" w:rsidRDefault="00B46FB7" w:rsidP="00B46FB7">
      <w:pPr>
        <w:pStyle w:val="NoSpacing"/>
        <w:pBdr>
          <w:bottom w:val="single" w:sz="12" w:space="1" w:color="FFC000"/>
        </w:pBdr>
        <w:rPr>
          <w:rFonts w:asciiTheme="majorHAnsi" w:hAnsiTheme="majorHAnsi" w:cs="Arial"/>
          <w:i/>
          <w:color w:val="17365D" w:themeColor="text2" w:themeShade="BF"/>
          <w:sz w:val="32"/>
          <w:szCs w:val="32"/>
        </w:rPr>
      </w:pPr>
      <w:r>
        <w:rPr>
          <w:rFonts w:asciiTheme="majorHAnsi" w:hAnsiTheme="majorHAnsi" w:cs="Arial"/>
          <w:color w:val="17365D" w:themeColor="text2" w:themeShade="BF"/>
          <w:sz w:val="32"/>
          <w:szCs w:val="32"/>
        </w:rPr>
        <w:t>Procedures</w:t>
      </w:r>
    </w:p>
    <w:p w:rsidR="00B46FB7" w:rsidRPr="008239B7" w:rsidRDefault="00B46FB7" w:rsidP="00B46FB7">
      <w:pPr>
        <w:rPr>
          <w:rFonts w:ascii="Arial" w:hAnsi="Arial" w:cs="Arial"/>
          <w:sz w:val="22"/>
        </w:rPr>
      </w:pPr>
      <w:r>
        <w:rPr>
          <w:rFonts w:ascii="Arial" w:hAnsi="Arial" w:cs="Arial"/>
          <w:sz w:val="22"/>
          <w:highlight w:val="yellow"/>
        </w:rPr>
        <w:t xml:space="preserve">Insert </w:t>
      </w:r>
      <w:r w:rsidRPr="008239B7">
        <w:rPr>
          <w:rFonts w:ascii="Arial" w:hAnsi="Arial" w:cs="Arial"/>
          <w:sz w:val="22"/>
          <w:highlight w:val="yellow"/>
        </w:rPr>
        <w:t>lab-specific procedures here.</w:t>
      </w:r>
    </w:p>
    <w:p w:rsidR="00B46FB7" w:rsidRDefault="00B46FB7" w:rsidP="00B46FB7">
      <w:pPr>
        <w:rPr>
          <w:rFonts w:ascii="Arial" w:hAnsi="Arial" w:cs="Arial"/>
          <w:b/>
          <w:u w:val="single"/>
        </w:rPr>
      </w:pPr>
    </w:p>
    <w:p w:rsidR="001648F0" w:rsidRPr="0069693E" w:rsidRDefault="001648F0" w:rsidP="0069693E">
      <w:pPr>
        <w:pStyle w:val="NoSpacing"/>
        <w:pBdr>
          <w:bottom w:val="single" w:sz="12" w:space="1" w:color="FFC000"/>
        </w:pBdr>
        <w:rPr>
          <w:rFonts w:asciiTheme="majorHAnsi" w:hAnsiTheme="majorHAnsi" w:cs="Arial"/>
          <w:color w:val="17365D" w:themeColor="text2" w:themeShade="BF"/>
          <w:sz w:val="32"/>
          <w:szCs w:val="32"/>
        </w:rPr>
      </w:pPr>
      <w:r w:rsidRPr="0069693E">
        <w:rPr>
          <w:rFonts w:asciiTheme="majorHAnsi" w:hAnsiTheme="majorHAnsi" w:cs="Arial"/>
          <w:color w:val="17365D" w:themeColor="text2" w:themeShade="BF"/>
          <w:sz w:val="32"/>
          <w:szCs w:val="32"/>
        </w:rPr>
        <w:t>References</w:t>
      </w:r>
    </w:p>
    <w:p w:rsidR="00CB3618" w:rsidRPr="00330F45" w:rsidRDefault="001648F0" w:rsidP="0069693E">
      <w:pPr>
        <w:pStyle w:val="NoSpacing"/>
        <w:rPr>
          <w:rFonts w:ascii="Arial" w:hAnsi="Arial" w:cs="Arial"/>
          <w:sz w:val="20"/>
        </w:rPr>
      </w:pPr>
      <w:r w:rsidRPr="00330F45">
        <w:rPr>
          <w:rFonts w:ascii="Arial" w:hAnsi="Arial" w:cs="Arial"/>
          <w:sz w:val="20"/>
        </w:rPr>
        <w:t>Biological Safety Principles and Practices, 3rd edition, 2000. ASM Press. Edited</w:t>
      </w:r>
      <w:r w:rsidR="00CB3618" w:rsidRPr="00330F45">
        <w:rPr>
          <w:rFonts w:ascii="Arial" w:hAnsi="Arial" w:cs="Arial"/>
          <w:sz w:val="20"/>
        </w:rPr>
        <w:t xml:space="preserve"> </w:t>
      </w:r>
    </w:p>
    <w:p w:rsidR="001648F0" w:rsidRPr="00330F45" w:rsidRDefault="001648F0" w:rsidP="0069693E">
      <w:pPr>
        <w:pStyle w:val="NoSpacing"/>
        <w:rPr>
          <w:rFonts w:ascii="Arial" w:hAnsi="Arial" w:cs="Arial"/>
          <w:sz w:val="20"/>
        </w:rPr>
      </w:pPr>
      <w:proofErr w:type="gramStart"/>
      <w:r w:rsidRPr="00330F45">
        <w:rPr>
          <w:rFonts w:ascii="Arial" w:hAnsi="Arial" w:cs="Arial"/>
          <w:sz w:val="20"/>
        </w:rPr>
        <w:t>by</w:t>
      </w:r>
      <w:proofErr w:type="gramEnd"/>
      <w:r w:rsidRPr="00330F45">
        <w:rPr>
          <w:rFonts w:ascii="Arial" w:hAnsi="Arial" w:cs="Arial"/>
          <w:sz w:val="20"/>
        </w:rPr>
        <w:t xml:space="preserve"> Diane O. Fleming, </w:t>
      </w:r>
      <w:proofErr w:type="spellStart"/>
      <w:r w:rsidRPr="00330F45">
        <w:rPr>
          <w:rFonts w:ascii="Arial" w:hAnsi="Arial" w:cs="Arial"/>
          <w:sz w:val="20"/>
        </w:rPr>
        <w:t>Ph.D</w:t>
      </w:r>
      <w:proofErr w:type="spellEnd"/>
      <w:r w:rsidRPr="00330F45">
        <w:rPr>
          <w:rFonts w:ascii="Arial" w:hAnsi="Arial" w:cs="Arial"/>
          <w:sz w:val="20"/>
        </w:rPr>
        <w:t xml:space="preserve">, and Debra Hunt, </w:t>
      </w:r>
      <w:proofErr w:type="spellStart"/>
      <w:r w:rsidRPr="00330F45">
        <w:rPr>
          <w:rFonts w:ascii="Arial" w:hAnsi="Arial" w:cs="Arial"/>
          <w:sz w:val="20"/>
        </w:rPr>
        <w:t>Dr.P.H</w:t>
      </w:r>
      <w:proofErr w:type="spellEnd"/>
      <w:r w:rsidRPr="00330F45">
        <w:rPr>
          <w:rFonts w:ascii="Arial" w:hAnsi="Arial" w:cs="Arial"/>
          <w:sz w:val="20"/>
        </w:rPr>
        <w:t>.</w:t>
      </w:r>
    </w:p>
    <w:p w:rsidR="00330F45" w:rsidRPr="00330F45" w:rsidRDefault="00330F45" w:rsidP="0069693E">
      <w:pPr>
        <w:pStyle w:val="NoSpacing"/>
        <w:rPr>
          <w:rFonts w:ascii="Arial" w:hAnsi="Arial" w:cs="Arial"/>
          <w:i/>
          <w:iCs/>
          <w:sz w:val="20"/>
        </w:rPr>
      </w:pPr>
    </w:p>
    <w:p w:rsidR="00434AC2" w:rsidRPr="00330F45" w:rsidRDefault="00434AC2" w:rsidP="00434AC2">
      <w:pPr>
        <w:pStyle w:val="NoSpacing"/>
        <w:rPr>
          <w:rFonts w:ascii="Arial" w:hAnsi="Arial" w:cs="Arial"/>
          <w:sz w:val="20"/>
        </w:rPr>
      </w:pPr>
      <w:r w:rsidRPr="00330F45">
        <w:rPr>
          <w:rFonts w:ascii="Arial" w:hAnsi="Arial" w:cs="Arial"/>
          <w:i/>
          <w:iCs/>
          <w:sz w:val="20"/>
        </w:rPr>
        <w:t>Biosafety in Microbiology and Biomedical Laboratories</w:t>
      </w:r>
      <w:r w:rsidRPr="00330F45">
        <w:rPr>
          <w:rFonts w:ascii="Arial" w:hAnsi="Arial" w:cs="Arial"/>
          <w:sz w:val="20"/>
        </w:rPr>
        <w:t xml:space="preserve">, </w:t>
      </w:r>
      <w:r>
        <w:rPr>
          <w:rFonts w:ascii="Arial" w:hAnsi="Arial" w:cs="Arial"/>
          <w:sz w:val="20"/>
        </w:rPr>
        <w:t>5th edition, Dec</w:t>
      </w:r>
      <w:r w:rsidRPr="00330F45">
        <w:rPr>
          <w:rFonts w:ascii="Arial" w:hAnsi="Arial" w:cs="Arial"/>
          <w:sz w:val="20"/>
        </w:rPr>
        <w:t xml:space="preserve"> </w:t>
      </w:r>
      <w:r>
        <w:rPr>
          <w:rFonts w:ascii="Arial" w:hAnsi="Arial" w:cs="Arial"/>
          <w:sz w:val="20"/>
        </w:rPr>
        <w:t>2009</w:t>
      </w:r>
      <w:r w:rsidRPr="00330F45">
        <w:rPr>
          <w:rFonts w:ascii="Arial" w:hAnsi="Arial" w:cs="Arial"/>
          <w:sz w:val="20"/>
        </w:rPr>
        <w:t>.</w:t>
      </w:r>
    </w:p>
    <w:p w:rsidR="00434AC2" w:rsidRPr="00330F45" w:rsidRDefault="00434AC2" w:rsidP="00434AC2">
      <w:pPr>
        <w:pStyle w:val="NoSpacing"/>
        <w:rPr>
          <w:rFonts w:ascii="Arial" w:hAnsi="Arial" w:cs="Arial"/>
          <w:sz w:val="20"/>
        </w:rPr>
      </w:pPr>
      <w:r w:rsidRPr="00330F45">
        <w:rPr>
          <w:rFonts w:ascii="Arial" w:hAnsi="Arial" w:cs="Arial"/>
          <w:sz w:val="20"/>
        </w:rPr>
        <w:t xml:space="preserve">Centers for Disease Control. </w:t>
      </w:r>
      <w:hyperlink r:id="rId10" w:history="1">
        <w:r w:rsidRPr="00330F45">
          <w:rPr>
            <w:rStyle w:val="Hyperlink"/>
            <w:rFonts w:ascii="Arial" w:hAnsi="Arial" w:cs="Arial"/>
            <w:color w:val="auto"/>
            <w:sz w:val="20"/>
          </w:rPr>
          <w:t>https://www.cdc.gov/labs/BMBL.html</w:t>
        </w:r>
      </w:hyperlink>
      <w:r w:rsidRPr="00330F45">
        <w:rPr>
          <w:rFonts w:ascii="Arial" w:hAnsi="Arial" w:cs="Arial"/>
          <w:sz w:val="20"/>
        </w:rPr>
        <w:t xml:space="preserve">  </w:t>
      </w:r>
    </w:p>
    <w:p w:rsidR="00330F45" w:rsidRPr="00330F45" w:rsidRDefault="00330F45" w:rsidP="0069693E">
      <w:pPr>
        <w:pStyle w:val="NoSpacing"/>
        <w:rPr>
          <w:rFonts w:ascii="Arial" w:hAnsi="Arial" w:cs="Arial"/>
          <w:sz w:val="20"/>
        </w:rPr>
      </w:pPr>
    </w:p>
    <w:p w:rsidR="00385D30" w:rsidRPr="00D973AB" w:rsidRDefault="00385D30" w:rsidP="00385D30">
      <w:pPr>
        <w:pStyle w:val="NoSpacing"/>
        <w:rPr>
          <w:rFonts w:ascii="Arial" w:hAnsi="Arial" w:cs="Arial"/>
          <w:iCs/>
          <w:sz w:val="20"/>
        </w:rPr>
      </w:pPr>
      <w:r w:rsidRPr="00D973AB">
        <w:rPr>
          <w:rFonts w:ascii="Arial" w:hAnsi="Arial" w:cs="Arial"/>
          <w:iCs/>
          <w:sz w:val="20"/>
        </w:rPr>
        <w:t xml:space="preserve">California/OSHA </w:t>
      </w:r>
      <w:proofErr w:type="spellStart"/>
      <w:r w:rsidRPr="00D973AB">
        <w:rPr>
          <w:rFonts w:ascii="Arial" w:hAnsi="Arial" w:cs="Arial"/>
          <w:iCs/>
          <w:sz w:val="20"/>
        </w:rPr>
        <w:t>bloodborne</w:t>
      </w:r>
      <w:proofErr w:type="spellEnd"/>
      <w:r w:rsidRPr="00D973AB">
        <w:rPr>
          <w:rFonts w:ascii="Arial" w:hAnsi="Arial" w:cs="Arial"/>
          <w:iCs/>
          <w:sz w:val="20"/>
        </w:rPr>
        <w:t xml:space="preserve"> pathogens standard 8CCR Sec. 5193</w:t>
      </w:r>
    </w:p>
    <w:p w:rsidR="00385D30" w:rsidRPr="00D973AB" w:rsidRDefault="00AB6991" w:rsidP="00385D30">
      <w:pPr>
        <w:pStyle w:val="NoSpacing"/>
        <w:rPr>
          <w:rFonts w:ascii="Arial" w:hAnsi="Arial" w:cs="Arial"/>
          <w:iCs/>
          <w:sz w:val="20"/>
        </w:rPr>
      </w:pPr>
      <w:hyperlink r:id="rId11" w:history="1">
        <w:r w:rsidR="00385D30" w:rsidRPr="00D973AB">
          <w:rPr>
            <w:rStyle w:val="Hyperlink"/>
            <w:rFonts w:ascii="Arial" w:hAnsi="Arial" w:cs="Arial"/>
            <w:iCs/>
            <w:color w:val="auto"/>
            <w:sz w:val="20"/>
          </w:rPr>
          <w:t>https://www.dir.ca.gov/title8/5193.html</w:t>
        </w:r>
      </w:hyperlink>
      <w:r w:rsidR="00385D30" w:rsidRPr="00D973AB">
        <w:rPr>
          <w:rFonts w:ascii="Arial" w:hAnsi="Arial" w:cs="Arial"/>
          <w:iCs/>
          <w:sz w:val="20"/>
        </w:rPr>
        <w:t xml:space="preserve"> </w:t>
      </w:r>
    </w:p>
    <w:p w:rsidR="00385D30" w:rsidRDefault="00385D30" w:rsidP="0069693E">
      <w:pPr>
        <w:pStyle w:val="NoSpacing"/>
        <w:rPr>
          <w:rFonts w:ascii="Arial" w:hAnsi="Arial" w:cs="Arial"/>
          <w:sz w:val="20"/>
        </w:rPr>
      </w:pPr>
    </w:p>
    <w:p w:rsidR="003133FA" w:rsidRPr="00330F45" w:rsidRDefault="001648F0" w:rsidP="0069693E">
      <w:pPr>
        <w:pStyle w:val="NoSpacing"/>
        <w:rPr>
          <w:rFonts w:ascii="Arial" w:hAnsi="Arial" w:cs="Arial"/>
          <w:sz w:val="20"/>
        </w:rPr>
      </w:pPr>
      <w:r w:rsidRPr="00330F45">
        <w:rPr>
          <w:rFonts w:ascii="Arial" w:hAnsi="Arial" w:cs="Arial"/>
          <w:sz w:val="20"/>
        </w:rPr>
        <w:t>Canadian Laboratory Centre for Disease Control Material Safety Data Sheets.</w:t>
      </w:r>
      <w:r w:rsidR="003133FA" w:rsidRPr="00330F45">
        <w:rPr>
          <w:rFonts w:ascii="Arial" w:hAnsi="Arial" w:cs="Arial"/>
          <w:sz w:val="20"/>
        </w:rPr>
        <w:t xml:space="preserve"> </w:t>
      </w:r>
      <w:hyperlink r:id="rId12" w:history="1">
        <w:r w:rsidR="003133FA" w:rsidRPr="00330F45">
          <w:rPr>
            <w:rStyle w:val="Hyperlink"/>
            <w:rFonts w:ascii="Arial" w:hAnsi="Arial" w:cs="Arial"/>
            <w:color w:val="auto"/>
            <w:sz w:val="20"/>
          </w:rPr>
          <w:t>www.canada.ca/en/public-health/services/laboratory-biosafety-biosecurity/pathogen-safety-data-sheets-risk-assessment.html</w:t>
        </w:r>
      </w:hyperlink>
    </w:p>
    <w:p w:rsidR="00330F45" w:rsidRPr="00330F45" w:rsidRDefault="00330F45" w:rsidP="0069693E">
      <w:pPr>
        <w:pStyle w:val="NoSpacing"/>
        <w:rPr>
          <w:rFonts w:ascii="Arial" w:hAnsi="Arial" w:cs="Arial"/>
          <w:i/>
          <w:iCs/>
          <w:sz w:val="20"/>
        </w:rPr>
      </w:pPr>
    </w:p>
    <w:p w:rsidR="001648F0" w:rsidRPr="00330F45" w:rsidRDefault="001648F0" w:rsidP="0069693E">
      <w:pPr>
        <w:pStyle w:val="NoSpacing"/>
        <w:rPr>
          <w:rFonts w:ascii="Arial" w:hAnsi="Arial" w:cs="Arial"/>
          <w:sz w:val="20"/>
        </w:rPr>
      </w:pPr>
      <w:r w:rsidRPr="00330F45">
        <w:rPr>
          <w:rFonts w:ascii="Arial" w:hAnsi="Arial" w:cs="Arial"/>
          <w:i/>
          <w:iCs/>
          <w:sz w:val="20"/>
        </w:rPr>
        <w:t>Guidelines for Research Invol</w:t>
      </w:r>
      <w:r w:rsidR="005403C4" w:rsidRPr="00330F45">
        <w:rPr>
          <w:rFonts w:ascii="Arial" w:hAnsi="Arial" w:cs="Arial"/>
          <w:i/>
          <w:iCs/>
          <w:sz w:val="20"/>
        </w:rPr>
        <w:t xml:space="preserve">ving Recombinant DNA Molecules, </w:t>
      </w:r>
      <w:r w:rsidR="005403C4" w:rsidRPr="00330F45">
        <w:rPr>
          <w:rFonts w:ascii="Arial" w:hAnsi="Arial" w:cs="Arial"/>
          <w:iCs/>
          <w:sz w:val="20"/>
        </w:rPr>
        <w:t>April 2019</w:t>
      </w:r>
      <w:r w:rsidRPr="00330F45">
        <w:rPr>
          <w:rFonts w:ascii="Arial" w:hAnsi="Arial" w:cs="Arial"/>
          <w:sz w:val="20"/>
        </w:rPr>
        <w:t>.</w:t>
      </w:r>
    </w:p>
    <w:p w:rsidR="00E62BE0" w:rsidRDefault="001648F0" w:rsidP="0069693E">
      <w:pPr>
        <w:pStyle w:val="NoSpacing"/>
        <w:rPr>
          <w:rStyle w:val="Hyperlink"/>
          <w:rFonts w:ascii="Arial" w:hAnsi="Arial" w:cs="Arial"/>
          <w:color w:val="auto"/>
          <w:sz w:val="20"/>
        </w:rPr>
      </w:pPr>
      <w:r w:rsidRPr="00330F45">
        <w:rPr>
          <w:rFonts w:ascii="Arial" w:hAnsi="Arial" w:cs="Arial"/>
          <w:sz w:val="20"/>
        </w:rPr>
        <w:t xml:space="preserve">National Institutes of Health. </w:t>
      </w:r>
      <w:hyperlink r:id="rId13" w:history="1">
        <w:r w:rsidR="00E62BE0" w:rsidRPr="00F06419">
          <w:rPr>
            <w:rStyle w:val="Hyperlink"/>
            <w:rFonts w:ascii="Arial" w:hAnsi="Arial" w:cs="Arial"/>
            <w:sz w:val="20"/>
          </w:rPr>
          <w:t>https://osp.od.nih.gov/wp-content/uploads/NIH_Guidelines.html</w:t>
        </w:r>
      </w:hyperlink>
    </w:p>
    <w:p w:rsidR="00E62BE0" w:rsidRDefault="00E62BE0" w:rsidP="0069693E">
      <w:pPr>
        <w:pStyle w:val="NoSpacing"/>
        <w:rPr>
          <w:rStyle w:val="Hyperlink"/>
          <w:rFonts w:ascii="Arial" w:hAnsi="Arial" w:cs="Arial"/>
          <w:color w:val="auto"/>
          <w:sz w:val="20"/>
        </w:rPr>
      </w:pPr>
    </w:p>
    <w:p w:rsidR="00E62BE0" w:rsidRPr="00D973AB" w:rsidRDefault="00E62BE0" w:rsidP="00E62BE0">
      <w:pPr>
        <w:pStyle w:val="NoSpacing"/>
        <w:rPr>
          <w:rStyle w:val="Hyperlink"/>
          <w:rFonts w:ascii="Arial" w:hAnsi="Arial" w:cs="Arial"/>
          <w:color w:val="auto"/>
          <w:sz w:val="20"/>
          <w:u w:val="none"/>
        </w:rPr>
      </w:pPr>
      <w:r w:rsidRPr="00D973AB">
        <w:rPr>
          <w:rStyle w:val="Hyperlink"/>
          <w:rFonts w:ascii="Arial" w:hAnsi="Arial" w:cs="Arial"/>
          <w:color w:val="auto"/>
          <w:sz w:val="20"/>
          <w:u w:val="none"/>
        </w:rPr>
        <w:t>UCI Biosafety manual</w:t>
      </w:r>
    </w:p>
    <w:p w:rsidR="001343B1" w:rsidRDefault="00AB6991" w:rsidP="00E62BE0">
      <w:pPr>
        <w:pStyle w:val="NoSpacing"/>
        <w:rPr>
          <w:rStyle w:val="Hyperlink"/>
          <w:rFonts w:ascii="Arial" w:hAnsi="Arial" w:cs="Arial"/>
          <w:color w:val="auto"/>
          <w:sz w:val="20"/>
        </w:rPr>
      </w:pPr>
      <w:hyperlink r:id="rId14" w:history="1">
        <w:r w:rsidR="00E62BE0" w:rsidRPr="00D973AB">
          <w:rPr>
            <w:rStyle w:val="Hyperlink"/>
            <w:rFonts w:ascii="Arial" w:hAnsi="Arial" w:cs="Arial"/>
            <w:color w:val="auto"/>
            <w:sz w:val="20"/>
          </w:rPr>
          <w:t>https://www.ehs.uci.edu/programs/biosafety/BiosafetyManual.pdf</w:t>
        </w:r>
      </w:hyperlink>
      <w:r w:rsidR="00E62BE0" w:rsidRPr="00D973AB">
        <w:rPr>
          <w:rStyle w:val="Hyperlink"/>
          <w:rFonts w:ascii="Arial" w:hAnsi="Arial" w:cs="Arial"/>
          <w:color w:val="auto"/>
          <w:sz w:val="20"/>
          <w:u w:val="none"/>
        </w:rPr>
        <w:t xml:space="preserve"> </w:t>
      </w:r>
    </w:p>
    <w:p w:rsidR="0063492D" w:rsidRDefault="0063492D" w:rsidP="00E62BE0">
      <w:pPr>
        <w:pStyle w:val="NoSpacing"/>
        <w:rPr>
          <w:rStyle w:val="Hyperlink"/>
          <w:rFonts w:ascii="Arial" w:hAnsi="Arial" w:cs="Arial"/>
          <w:color w:val="auto"/>
          <w:sz w:val="20"/>
        </w:rPr>
        <w:sectPr w:rsidR="0063492D">
          <w:footerReference w:type="default" r:id="rId15"/>
          <w:pgSz w:w="12240" w:h="15840"/>
          <w:pgMar w:top="1440" w:right="1440" w:bottom="1440" w:left="1440" w:header="720" w:footer="720" w:gutter="0"/>
          <w:cols w:space="720"/>
          <w:docGrid w:linePitch="360"/>
        </w:sectPr>
      </w:pPr>
    </w:p>
    <w:p w:rsidR="00F24E70" w:rsidRPr="00E75DDB" w:rsidRDefault="00F24E70" w:rsidP="00F24E70">
      <w:pPr>
        <w:pStyle w:val="NoSpacing"/>
        <w:pBdr>
          <w:bottom w:val="single" w:sz="12" w:space="1" w:color="FFC000"/>
        </w:pBdr>
        <w:rPr>
          <w:rFonts w:asciiTheme="majorHAnsi" w:hAnsiTheme="majorHAnsi" w:cs="Arial"/>
          <w:color w:val="17365D" w:themeColor="text2" w:themeShade="BF"/>
          <w:sz w:val="32"/>
          <w:szCs w:val="32"/>
        </w:rPr>
      </w:pPr>
      <w:r>
        <w:rPr>
          <w:rFonts w:asciiTheme="majorHAnsi" w:hAnsiTheme="majorHAnsi" w:cs="Arial"/>
          <w:color w:val="17365D" w:themeColor="text2" w:themeShade="BF"/>
          <w:sz w:val="32"/>
          <w:szCs w:val="32"/>
        </w:rPr>
        <w:lastRenderedPageBreak/>
        <w:t xml:space="preserve">Acknowledgement </w:t>
      </w:r>
    </w:p>
    <w:p w:rsidR="00F24E70" w:rsidRPr="0083036B" w:rsidRDefault="00F24E70" w:rsidP="00F24E70">
      <w:pPr>
        <w:pStyle w:val="NoSpacing"/>
        <w:rPr>
          <w:rFonts w:ascii="Arial" w:hAnsi="Arial" w:cs="Arial"/>
          <w:b/>
          <w:u w:val="single"/>
        </w:rPr>
      </w:pPr>
      <w:r w:rsidRPr="0083036B">
        <w:rPr>
          <w:rFonts w:ascii="Arial" w:hAnsi="Arial" w:cs="Arial"/>
          <w:b/>
        </w:rPr>
        <w:t xml:space="preserve">As the Principal Investigator, it is your responsibility to ensure that all individuals listed in the IBC application are taught correct procedures for the safe handling of hazardous materials involved in this study. It is also your responsibility to assure that your personnel attend all the required training.  Both PI and all persons associated with the protocol must sign the following acknowledgement: </w:t>
      </w:r>
      <w:r w:rsidRPr="0083036B">
        <w:rPr>
          <w:rFonts w:ascii="Arial" w:hAnsi="Arial" w:cs="Arial"/>
          <w:b/>
          <w:i/>
        </w:rPr>
        <w:t>I have read, asked questions, and understand the hazards of and safe working procedures for the activity/materials described herein.</w:t>
      </w:r>
    </w:p>
    <w:p w:rsidR="00F24E70" w:rsidRDefault="00F24E70" w:rsidP="00F24E70">
      <w:pPr>
        <w:pStyle w:val="NoSpacing"/>
        <w:rPr>
          <w:rFonts w:ascii="Arial" w:hAnsi="Arial" w:cs="Arial"/>
          <w:u w:val="single"/>
        </w:rPr>
      </w:pPr>
    </w:p>
    <w:p w:rsidR="00F24E70" w:rsidRPr="009B047B" w:rsidRDefault="00F24E70" w:rsidP="00F24E70">
      <w:pPr>
        <w:pStyle w:val="NoSpacing"/>
        <w:rPr>
          <w:rFonts w:ascii="Arial" w:hAnsi="Arial" w:cs="Arial"/>
          <w:u w:val="single"/>
        </w:rPr>
      </w:pPr>
    </w:p>
    <w:p w:rsidR="00F24E70" w:rsidRPr="009B047B" w:rsidRDefault="00F24E70" w:rsidP="00F24E70">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1824" behindDoc="0" locked="0" layoutInCell="1" allowOverlap="1" wp14:anchorId="0C55C15E" wp14:editId="50E7FD8D">
                <wp:simplePos x="0" y="0"/>
                <wp:positionH relativeFrom="column">
                  <wp:posOffset>0</wp:posOffset>
                </wp:positionH>
                <wp:positionV relativeFrom="paragraph">
                  <wp:posOffset>101600</wp:posOffset>
                </wp:positionV>
                <wp:extent cx="57150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0E9DD" id="Straight Connector 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fX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xN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NOHF9cdAgAANgQAAA4AAAAAAAAAAAAAAAAALgIAAGRycy9lMm9Eb2MueG1sUEsBAi0AFAAG&#10;AAgAAAAhAA5su33ZAAAABgEAAA8AAAAAAAAAAAAAAAAAdwQAAGRycy9kb3ducmV2LnhtbFBLBQYA&#10;AAAABAAEAPMAAAB9BQAAAAA=&#10;"/>
            </w:pict>
          </mc:Fallback>
        </mc:AlternateContent>
      </w:r>
    </w:p>
    <w:p w:rsidR="00F24E70" w:rsidRPr="001B531A" w:rsidRDefault="00F24E70" w:rsidP="00F24E70">
      <w:pPr>
        <w:pStyle w:val="NoSpacing"/>
        <w:rPr>
          <w:rFonts w:ascii="Arial" w:hAnsi="Arial" w:cs="Arial"/>
        </w:rPr>
      </w:pPr>
      <w:r w:rsidRPr="001B531A">
        <w:rPr>
          <w:rFonts w:ascii="Arial" w:hAnsi="Arial" w:cs="Arial"/>
          <w:highlight w:val="yellow"/>
        </w:rPr>
        <w:t>PI Signature</w:t>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r>
      <w:r w:rsidRPr="001B531A">
        <w:rPr>
          <w:rFonts w:ascii="Arial" w:hAnsi="Arial" w:cs="Arial"/>
          <w:highlight w:val="yellow"/>
        </w:rPr>
        <w:tab/>
        <w:t>DATE</w:t>
      </w:r>
    </w:p>
    <w:p w:rsidR="00F24E70" w:rsidRPr="009B047B" w:rsidRDefault="00F24E70" w:rsidP="00F24E70">
      <w:pPr>
        <w:pStyle w:val="NoSpacing"/>
        <w:rPr>
          <w:rFonts w:ascii="Arial" w:hAnsi="Arial" w:cs="Arial"/>
        </w:rPr>
      </w:pPr>
    </w:p>
    <w:p w:rsidR="00F24E70" w:rsidRPr="009B047B" w:rsidRDefault="00F24E70" w:rsidP="00F24E70">
      <w:pPr>
        <w:pStyle w:val="NoSpacing"/>
        <w:rPr>
          <w:rFonts w:ascii="Arial" w:hAnsi="Arial" w:cs="Arial"/>
        </w:rPr>
      </w:pPr>
    </w:p>
    <w:p w:rsidR="00F24E70" w:rsidRPr="009B047B" w:rsidRDefault="00F24E70" w:rsidP="00F24E70">
      <w:pPr>
        <w:pStyle w:val="NoSpacing"/>
        <w:rPr>
          <w:rFonts w:ascii="Arial" w:hAnsi="Arial" w:cs="Arial"/>
        </w:rPr>
      </w:pPr>
      <w:r w:rsidRPr="001B531A">
        <w:rPr>
          <w:rFonts w:ascii="Arial" w:hAnsi="Arial" w:cs="Arial"/>
          <w:highlight w:val="yellow"/>
        </w:rPr>
        <w:t>Other Personnel (add more rows as needed):</w:t>
      </w:r>
    </w:p>
    <w:p w:rsidR="00F24E70" w:rsidRPr="009B047B" w:rsidRDefault="00F24E70" w:rsidP="00F24E70">
      <w:pPr>
        <w:pStyle w:val="NoSpacing"/>
        <w:rPr>
          <w:rFonts w:ascii="Arial" w:hAnsi="Arial" w:cs="Arial"/>
        </w:rPr>
      </w:pPr>
    </w:p>
    <w:p w:rsidR="00F24E70" w:rsidRPr="009B047B" w:rsidRDefault="00F24E70" w:rsidP="00F24E70">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2848" behindDoc="0" locked="0" layoutInCell="1" allowOverlap="1" wp14:anchorId="6EF6F238" wp14:editId="12B7530B">
                <wp:simplePos x="0" y="0"/>
                <wp:positionH relativeFrom="column">
                  <wp:posOffset>0</wp:posOffset>
                </wp:positionH>
                <wp:positionV relativeFrom="paragraph">
                  <wp:posOffset>101600</wp:posOffset>
                </wp:positionV>
                <wp:extent cx="57150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6B2BA" id="Straight Connector 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p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0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MKa2lYdAgAANgQAAA4AAAAAAAAAAAAAAAAALgIAAGRycy9lMm9Eb2MueG1sUEsBAi0AFAAG&#10;AAgAAAAhAA5su33ZAAAABgEAAA8AAAAAAAAAAAAAAAAAdwQAAGRycy9kb3ducmV2LnhtbFBLBQYA&#10;AAAABAAEAPMAAAB9BQAAAAA=&#10;"/>
            </w:pict>
          </mc:Fallback>
        </mc:AlternateContent>
      </w:r>
    </w:p>
    <w:p w:rsidR="00F24E70" w:rsidRPr="009B047B" w:rsidRDefault="00F24E70" w:rsidP="00F24E70">
      <w:pPr>
        <w:pStyle w:val="NoSpacing"/>
        <w:rPr>
          <w:rFonts w:ascii="Arial" w:hAnsi="Arial" w:cs="Arial"/>
        </w:rPr>
      </w:pPr>
      <w:r w:rsidRPr="009B047B">
        <w:rPr>
          <w:rFonts w:ascii="Arial" w:hAnsi="Arial" w:cs="Arial"/>
        </w:rPr>
        <w:t>Name/ 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F24E70" w:rsidRPr="009B047B" w:rsidRDefault="00F24E70" w:rsidP="00F24E70">
      <w:pPr>
        <w:pStyle w:val="NoSpacing"/>
        <w:rPr>
          <w:rFonts w:ascii="Arial" w:hAnsi="Arial" w:cs="Arial"/>
        </w:rPr>
      </w:pPr>
    </w:p>
    <w:p w:rsidR="00F24E70" w:rsidRPr="009B047B" w:rsidRDefault="00F24E70" w:rsidP="00F24E70">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3872" behindDoc="0" locked="0" layoutInCell="1" allowOverlap="1" wp14:anchorId="1DF99AD9" wp14:editId="0BB6461C">
                <wp:simplePos x="0" y="0"/>
                <wp:positionH relativeFrom="column">
                  <wp:posOffset>0</wp:posOffset>
                </wp:positionH>
                <wp:positionV relativeFrom="paragraph">
                  <wp:posOffset>101600</wp:posOffset>
                </wp:positionV>
                <wp:extent cx="57150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E6104" id="Straight Connector 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RN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DfFW2UdAgAANgQAAA4AAAAAAAAAAAAAAAAALgIAAGRycy9lMm9Eb2MueG1sUEsBAi0AFAAG&#10;AAgAAAAhAA5su33ZAAAABgEAAA8AAAAAAAAAAAAAAAAAdwQAAGRycy9kb3ducmV2LnhtbFBLBQYA&#10;AAAABAAEAPMAAAB9BQAAAAA=&#10;"/>
            </w:pict>
          </mc:Fallback>
        </mc:AlternateContent>
      </w:r>
    </w:p>
    <w:p w:rsidR="00F24E70" w:rsidRDefault="00F24E70" w:rsidP="00F24E70">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F24E70" w:rsidRPr="009B047B" w:rsidRDefault="00F24E70" w:rsidP="00F24E70">
      <w:pPr>
        <w:pStyle w:val="NoSpacing"/>
        <w:rPr>
          <w:rFonts w:ascii="Arial" w:hAnsi="Arial" w:cs="Arial"/>
        </w:rPr>
      </w:pPr>
    </w:p>
    <w:p w:rsidR="00F24E70" w:rsidRPr="009B047B" w:rsidRDefault="00F24E70" w:rsidP="00F24E70">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4896" behindDoc="0" locked="0" layoutInCell="1" allowOverlap="1" wp14:anchorId="6AAC5A64" wp14:editId="71148D56">
                <wp:simplePos x="0" y="0"/>
                <wp:positionH relativeFrom="column">
                  <wp:posOffset>0</wp:posOffset>
                </wp:positionH>
                <wp:positionV relativeFrom="paragraph">
                  <wp:posOffset>101600</wp:posOffset>
                </wp:positionV>
                <wp:extent cx="57150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34832" id="Straight Connector 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JtiW5BwCAAA2BAAADgAAAAAAAAAAAAAAAAAuAgAAZHJzL2Uyb0RvYy54bWxQSwECLQAUAAYA&#10;CAAAACEADmy7fdkAAAAGAQAADwAAAAAAAAAAAAAAAAB2BAAAZHJzL2Rvd25yZXYueG1sUEsFBgAA&#10;AAAEAAQA8wAAAHwFAAAAAA==&#10;"/>
            </w:pict>
          </mc:Fallback>
        </mc:AlternateContent>
      </w:r>
    </w:p>
    <w:p w:rsidR="00F24E70" w:rsidRDefault="00F24E70" w:rsidP="00F24E70">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F24E70" w:rsidRPr="009B047B" w:rsidRDefault="00F24E70" w:rsidP="00F24E70">
      <w:pPr>
        <w:pStyle w:val="NoSpacing"/>
        <w:rPr>
          <w:rFonts w:ascii="Arial" w:hAnsi="Arial" w:cs="Arial"/>
        </w:rPr>
      </w:pPr>
    </w:p>
    <w:p w:rsidR="00F24E70" w:rsidRDefault="00F24E70" w:rsidP="00F24E70">
      <w:pPr>
        <w:pStyle w:val="NoSpacing"/>
        <w:rPr>
          <w:rFonts w:ascii="Arial" w:hAnsi="Arial" w:cs="Arial"/>
        </w:rPr>
      </w:pPr>
      <w:r w:rsidRPr="009B047B">
        <w:rPr>
          <w:rFonts w:ascii="Arial" w:hAnsi="Arial" w:cs="Arial"/>
          <w:noProof/>
        </w:rPr>
        <mc:AlternateContent>
          <mc:Choice Requires="wps">
            <w:drawing>
              <wp:anchor distT="0" distB="0" distL="114300" distR="114300" simplePos="0" relativeHeight="251665920" behindDoc="0" locked="0" layoutInCell="1" allowOverlap="1" wp14:anchorId="3C7F025F" wp14:editId="6F8AC02A">
                <wp:simplePos x="0" y="0"/>
                <wp:positionH relativeFrom="column">
                  <wp:posOffset>0</wp:posOffset>
                </wp:positionH>
                <wp:positionV relativeFrom="paragraph">
                  <wp:posOffset>101600</wp:posOffset>
                </wp:positionV>
                <wp:extent cx="5715000" cy="0"/>
                <wp:effectExtent l="9525" t="6350" r="9525" b="127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DABA6" id="Straight Connector 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P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sLv8DxwCAAA2BAAADgAAAAAAAAAAAAAAAAAuAgAAZHJzL2Uyb0RvYy54bWxQSwECLQAUAAYA&#10;CAAAACEADmy7fdkAAAAGAQAADwAAAAAAAAAAAAAAAAB2BAAAZHJzL2Rvd25yZXYueG1sUEsFBgAA&#10;AAAEAAQA8wAAAHwFAAAAAA==&#10;"/>
            </w:pict>
          </mc:Fallback>
        </mc:AlternateContent>
      </w:r>
    </w:p>
    <w:p w:rsidR="00F24E70" w:rsidRPr="009B047B" w:rsidRDefault="00F24E70" w:rsidP="00F24E70">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sectPr w:rsidR="00F24E70" w:rsidRPr="009B04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2FF" w:rsidRDefault="009642FF" w:rsidP="009642FF">
      <w:r>
        <w:separator/>
      </w:r>
    </w:p>
  </w:endnote>
  <w:endnote w:type="continuationSeparator" w:id="0">
    <w:p w:rsidR="009642FF" w:rsidRDefault="009642FF" w:rsidP="0096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2FF" w:rsidRPr="00F30B69" w:rsidRDefault="009642FF">
    <w:pPr>
      <w:pStyle w:val="Footer"/>
      <w:rPr>
        <w:rFonts w:ascii="Arial" w:hAnsi="Arial" w:cs="Arial"/>
        <w:sz w:val="18"/>
      </w:rPr>
    </w:pPr>
    <w:r w:rsidRPr="000574C1">
      <w:rPr>
        <w:rFonts w:ascii="Arial" w:hAnsi="Arial" w:cs="Arial"/>
        <w:sz w:val="18"/>
      </w:rPr>
      <w:t>Template ver. 05-2019</w:t>
    </w:r>
    <w:r w:rsidR="00172D3E">
      <w:rPr>
        <w:rFonts w:ascii="Arial" w:hAnsi="Arial" w:cs="Arial"/>
        <w:sz w:val="18"/>
      </w:rPr>
      <w:t>, Retroviral Vectors</w:t>
    </w:r>
    <w:r>
      <w:rPr>
        <w:rFonts w:ascii="Arial" w:hAnsi="Arial" w:cs="Arial"/>
        <w:sz w:val="18"/>
      </w:rPr>
      <w:tab/>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AB6991">
      <w:rPr>
        <w:rFonts w:ascii="Arial" w:hAnsi="Arial" w:cs="Arial"/>
        <w:noProof/>
        <w:sz w:val="18"/>
      </w:rPr>
      <w:t>5</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 Arabic  \* MERGEFORMAT </w:instrText>
    </w:r>
    <w:r>
      <w:rPr>
        <w:rFonts w:ascii="Arial" w:hAnsi="Arial" w:cs="Arial"/>
        <w:sz w:val="18"/>
      </w:rPr>
      <w:fldChar w:fldCharType="separate"/>
    </w:r>
    <w:r w:rsidR="00AB6991">
      <w:rPr>
        <w:rFonts w:ascii="Arial" w:hAnsi="Arial" w:cs="Arial"/>
        <w:noProof/>
        <w:sz w:val="18"/>
      </w:rPr>
      <w:t>5</w:t>
    </w:r>
    <w:r>
      <w:rPr>
        <w:rFonts w:ascii="Arial" w:hAnsi="Arial" w:cs="Arial"/>
        <w:sz w:val="18"/>
      </w:rPr>
      <w:fldChar w:fldCharType="end"/>
    </w:r>
    <w:r w:rsidR="00172D3E">
      <w:rPr>
        <w:rFonts w:ascii="Arial" w:hAnsi="Arial" w:cs="Arial"/>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2FF" w:rsidRDefault="009642FF" w:rsidP="009642FF">
      <w:r>
        <w:separator/>
      </w:r>
    </w:p>
  </w:footnote>
  <w:footnote w:type="continuationSeparator" w:id="0">
    <w:p w:rsidR="009642FF" w:rsidRDefault="009642FF" w:rsidP="009642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61B24"/>
    <w:multiLevelType w:val="hybridMultilevel"/>
    <w:tmpl w:val="F05A5484"/>
    <w:lvl w:ilvl="0" w:tplc="1D9EB93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C70C12"/>
    <w:multiLevelType w:val="hybridMultilevel"/>
    <w:tmpl w:val="680E5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923F83"/>
    <w:multiLevelType w:val="hybridMultilevel"/>
    <w:tmpl w:val="91201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E81180"/>
    <w:multiLevelType w:val="hybridMultilevel"/>
    <w:tmpl w:val="68807C10"/>
    <w:lvl w:ilvl="0" w:tplc="5218ECB0">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206598C"/>
    <w:multiLevelType w:val="hybridMultilevel"/>
    <w:tmpl w:val="B456E6F4"/>
    <w:lvl w:ilvl="0" w:tplc="0409000F">
      <w:start w:val="1"/>
      <w:numFmt w:val="decimal"/>
      <w:lvlText w:val="%1."/>
      <w:lvlJc w:val="left"/>
      <w:pPr>
        <w:ind w:left="720" w:hanging="360"/>
      </w:pPr>
      <w:rPr>
        <w:rFonts w:hint="default"/>
      </w:rPr>
    </w:lvl>
    <w:lvl w:ilvl="1" w:tplc="D78CB88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F0"/>
    <w:rsid w:val="000857A7"/>
    <w:rsid w:val="000C27A9"/>
    <w:rsid w:val="000F4EB2"/>
    <w:rsid w:val="0010238B"/>
    <w:rsid w:val="001343B1"/>
    <w:rsid w:val="001648F0"/>
    <w:rsid w:val="00172D3E"/>
    <w:rsid w:val="00195B50"/>
    <w:rsid w:val="001C5C11"/>
    <w:rsid w:val="00234F79"/>
    <w:rsid w:val="00245899"/>
    <w:rsid w:val="00255AAF"/>
    <w:rsid w:val="002B03FE"/>
    <w:rsid w:val="002C2340"/>
    <w:rsid w:val="002D2E54"/>
    <w:rsid w:val="003133FA"/>
    <w:rsid w:val="003178C3"/>
    <w:rsid w:val="0032722C"/>
    <w:rsid w:val="00330F45"/>
    <w:rsid w:val="00380516"/>
    <w:rsid w:val="00385D30"/>
    <w:rsid w:val="003A5260"/>
    <w:rsid w:val="003C06BC"/>
    <w:rsid w:val="003C0C12"/>
    <w:rsid w:val="003F165C"/>
    <w:rsid w:val="004009E9"/>
    <w:rsid w:val="00403F00"/>
    <w:rsid w:val="00422DF4"/>
    <w:rsid w:val="004232E0"/>
    <w:rsid w:val="00434AC2"/>
    <w:rsid w:val="00447B8F"/>
    <w:rsid w:val="00471E50"/>
    <w:rsid w:val="00475968"/>
    <w:rsid w:val="004861F6"/>
    <w:rsid w:val="004D13D6"/>
    <w:rsid w:val="004F698A"/>
    <w:rsid w:val="0051218D"/>
    <w:rsid w:val="005403C4"/>
    <w:rsid w:val="005670EC"/>
    <w:rsid w:val="0058115D"/>
    <w:rsid w:val="0063492D"/>
    <w:rsid w:val="0069693E"/>
    <w:rsid w:val="006C0B4D"/>
    <w:rsid w:val="0073406A"/>
    <w:rsid w:val="00746D47"/>
    <w:rsid w:val="0076779F"/>
    <w:rsid w:val="00773619"/>
    <w:rsid w:val="00797BD0"/>
    <w:rsid w:val="007E22FA"/>
    <w:rsid w:val="00831E05"/>
    <w:rsid w:val="00843C03"/>
    <w:rsid w:val="00887278"/>
    <w:rsid w:val="0092768B"/>
    <w:rsid w:val="00942CC9"/>
    <w:rsid w:val="00954AEE"/>
    <w:rsid w:val="009642FF"/>
    <w:rsid w:val="009935FE"/>
    <w:rsid w:val="009B047B"/>
    <w:rsid w:val="00A3635F"/>
    <w:rsid w:val="00A71751"/>
    <w:rsid w:val="00AB6991"/>
    <w:rsid w:val="00B151F8"/>
    <w:rsid w:val="00B36802"/>
    <w:rsid w:val="00B46FB7"/>
    <w:rsid w:val="00BA46E4"/>
    <w:rsid w:val="00BC287F"/>
    <w:rsid w:val="00C37C2E"/>
    <w:rsid w:val="00C64D76"/>
    <w:rsid w:val="00C903BC"/>
    <w:rsid w:val="00CB3618"/>
    <w:rsid w:val="00CB5062"/>
    <w:rsid w:val="00CD4463"/>
    <w:rsid w:val="00CE4583"/>
    <w:rsid w:val="00CE6F91"/>
    <w:rsid w:val="00D3077F"/>
    <w:rsid w:val="00D95682"/>
    <w:rsid w:val="00DA551E"/>
    <w:rsid w:val="00DC4D3E"/>
    <w:rsid w:val="00E115CA"/>
    <w:rsid w:val="00E16FB5"/>
    <w:rsid w:val="00E32EDA"/>
    <w:rsid w:val="00E62BE0"/>
    <w:rsid w:val="00E63660"/>
    <w:rsid w:val="00E84DED"/>
    <w:rsid w:val="00EC6221"/>
    <w:rsid w:val="00ED0566"/>
    <w:rsid w:val="00EF5B2A"/>
    <w:rsid w:val="00F24E70"/>
    <w:rsid w:val="00F30B69"/>
    <w:rsid w:val="00F71EBF"/>
    <w:rsid w:val="00F85136"/>
    <w:rsid w:val="00FC79B5"/>
    <w:rsid w:val="00FF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0D0CA9-A73C-44F1-97B4-8015D43D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009E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516"/>
    <w:rPr>
      <w:color w:val="0000FF" w:themeColor="hyperlink"/>
      <w:u w:val="single"/>
    </w:rPr>
  </w:style>
  <w:style w:type="paragraph" w:styleId="Header">
    <w:name w:val="header"/>
    <w:basedOn w:val="Normal"/>
    <w:link w:val="HeaderChar"/>
    <w:unhideWhenUsed/>
    <w:rsid w:val="00380516"/>
    <w:pPr>
      <w:tabs>
        <w:tab w:val="center" w:pos="4320"/>
        <w:tab w:val="right" w:pos="8640"/>
      </w:tabs>
      <w:overflowPunct w:val="0"/>
      <w:autoSpaceDE w:val="0"/>
      <w:autoSpaceDN w:val="0"/>
      <w:adjustRightInd w:val="0"/>
    </w:pPr>
    <w:rPr>
      <w:rFonts w:ascii="Arial" w:hAnsi="Arial" w:cs="Arial"/>
      <w:sz w:val="20"/>
      <w:szCs w:val="20"/>
    </w:rPr>
  </w:style>
  <w:style w:type="character" w:customStyle="1" w:styleId="HeaderChar">
    <w:name w:val="Header Char"/>
    <w:basedOn w:val="DefaultParagraphFont"/>
    <w:link w:val="Header"/>
    <w:semiHidden/>
    <w:rsid w:val="00380516"/>
    <w:rPr>
      <w:rFonts w:ascii="Arial" w:eastAsia="Times New Roman" w:hAnsi="Arial" w:cs="Arial"/>
      <w:sz w:val="20"/>
      <w:szCs w:val="20"/>
    </w:rPr>
  </w:style>
  <w:style w:type="paragraph" w:styleId="NoSpacing">
    <w:name w:val="No Spacing"/>
    <w:uiPriority w:val="1"/>
    <w:qFormat/>
    <w:rsid w:val="00380516"/>
    <w:pPr>
      <w:spacing w:after="0" w:line="240" w:lineRule="auto"/>
    </w:pPr>
  </w:style>
  <w:style w:type="paragraph" w:styleId="BalloonText">
    <w:name w:val="Balloon Text"/>
    <w:basedOn w:val="Normal"/>
    <w:link w:val="BalloonTextChar"/>
    <w:uiPriority w:val="99"/>
    <w:semiHidden/>
    <w:unhideWhenUsed/>
    <w:rsid w:val="004232E0"/>
    <w:rPr>
      <w:rFonts w:ascii="Tahoma" w:hAnsi="Tahoma" w:cs="Tahoma"/>
      <w:sz w:val="16"/>
      <w:szCs w:val="16"/>
    </w:rPr>
  </w:style>
  <w:style w:type="character" w:customStyle="1" w:styleId="BalloonTextChar">
    <w:name w:val="Balloon Text Char"/>
    <w:basedOn w:val="DefaultParagraphFont"/>
    <w:link w:val="BalloonText"/>
    <w:uiPriority w:val="99"/>
    <w:semiHidden/>
    <w:rsid w:val="004232E0"/>
    <w:rPr>
      <w:rFonts w:ascii="Tahoma" w:hAnsi="Tahoma" w:cs="Tahoma"/>
      <w:sz w:val="16"/>
      <w:szCs w:val="16"/>
    </w:rPr>
  </w:style>
  <w:style w:type="character" w:customStyle="1" w:styleId="Heading2Char">
    <w:name w:val="Heading 2 Char"/>
    <w:basedOn w:val="DefaultParagraphFont"/>
    <w:link w:val="Heading2"/>
    <w:uiPriority w:val="9"/>
    <w:rsid w:val="004009E9"/>
    <w:rPr>
      <w:rFonts w:ascii="Cambria" w:eastAsia="Times New Roman" w:hAnsi="Cambria" w:cs="Times New Roman"/>
      <w:b/>
      <w:bCs/>
      <w:color w:val="4F81BD"/>
      <w:sz w:val="26"/>
      <w:szCs w:val="26"/>
    </w:rPr>
  </w:style>
  <w:style w:type="paragraph" w:styleId="ListParagraph">
    <w:name w:val="List Paragraph"/>
    <w:basedOn w:val="Normal"/>
    <w:qFormat/>
    <w:rsid w:val="0092768B"/>
    <w:pPr>
      <w:ind w:left="720"/>
      <w:contextualSpacing/>
    </w:pPr>
  </w:style>
  <w:style w:type="paragraph" w:styleId="BodyText">
    <w:name w:val="Body Text"/>
    <w:basedOn w:val="Normal"/>
    <w:link w:val="BodyTextChar"/>
    <w:rsid w:val="009B047B"/>
    <w:rPr>
      <w:b/>
      <w:bCs/>
      <w:szCs w:val="20"/>
    </w:rPr>
  </w:style>
  <w:style w:type="character" w:customStyle="1" w:styleId="BodyTextChar">
    <w:name w:val="Body Text Char"/>
    <w:basedOn w:val="DefaultParagraphFont"/>
    <w:link w:val="BodyText"/>
    <w:rsid w:val="009B047B"/>
    <w:rPr>
      <w:rFonts w:ascii="Times New Roman" w:eastAsia="Times New Roman" w:hAnsi="Times New Roman" w:cs="Times New Roman"/>
      <w:b/>
      <w:bCs/>
      <w:sz w:val="24"/>
      <w:szCs w:val="20"/>
    </w:rPr>
  </w:style>
  <w:style w:type="paragraph" w:styleId="Footer">
    <w:name w:val="footer"/>
    <w:basedOn w:val="Normal"/>
    <w:link w:val="FooterChar"/>
    <w:uiPriority w:val="99"/>
    <w:unhideWhenUsed/>
    <w:rsid w:val="009642FF"/>
    <w:pPr>
      <w:tabs>
        <w:tab w:val="center" w:pos="4680"/>
        <w:tab w:val="right" w:pos="9360"/>
      </w:tabs>
    </w:pPr>
  </w:style>
  <w:style w:type="character" w:customStyle="1" w:styleId="FooterChar">
    <w:name w:val="Footer Char"/>
    <w:basedOn w:val="DefaultParagraphFont"/>
    <w:link w:val="Footer"/>
    <w:uiPriority w:val="99"/>
    <w:rsid w:val="009642FF"/>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1023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3787">
      <w:bodyDiv w:val="1"/>
      <w:marLeft w:val="0"/>
      <w:marRight w:val="0"/>
      <w:marTop w:val="0"/>
      <w:marBottom w:val="0"/>
      <w:divBdr>
        <w:top w:val="none" w:sz="0" w:space="0" w:color="auto"/>
        <w:left w:val="none" w:sz="0" w:space="0" w:color="auto"/>
        <w:bottom w:val="none" w:sz="0" w:space="0" w:color="auto"/>
        <w:right w:val="none" w:sz="0" w:space="0" w:color="auto"/>
      </w:divBdr>
    </w:div>
    <w:div w:id="213935164">
      <w:bodyDiv w:val="1"/>
      <w:marLeft w:val="0"/>
      <w:marRight w:val="0"/>
      <w:marTop w:val="0"/>
      <w:marBottom w:val="0"/>
      <w:divBdr>
        <w:top w:val="none" w:sz="0" w:space="0" w:color="auto"/>
        <w:left w:val="none" w:sz="0" w:space="0" w:color="auto"/>
        <w:bottom w:val="none" w:sz="0" w:space="0" w:color="auto"/>
        <w:right w:val="none" w:sz="0" w:space="0" w:color="auto"/>
      </w:divBdr>
    </w:div>
    <w:div w:id="609898787">
      <w:bodyDiv w:val="1"/>
      <w:marLeft w:val="0"/>
      <w:marRight w:val="0"/>
      <w:marTop w:val="0"/>
      <w:marBottom w:val="0"/>
      <w:divBdr>
        <w:top w:val="none" w:sz="0" w:space="0" w:color="auto"/>
        <w:left w:val="none" w:sz="0" w:space="0" w:color="auto"/>
        <w:bottom w:val="none" w:sz="0" w:space="0" w:color="auto"/>
        <w:right w:val="none" w:sz="0" w:space="0" w:color="auto"/>
      </w:divBdr>
    </w:div>
    <w:div w:id="18032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5193.html" TargetMode="External"/><Relationship Id="rId13" Type="http://schemas.openxmlformats.org/officeDocument/2006/relationships/hyperlink" Target="https://osp.od.nih.gov/wp-content/uploads/NIH_Guidelin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nada.ca/en/public-health/services/laboratory-biosafety-biosecurity/pathogen-safety-data-sheets-risk-assessmen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title8/5193.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dc.gov/labs/BMBL.html" TargetMode="External"/><Relationship Id="rId4" Type="http://schemas.openxmlformats.org/officeDocument/2006/relationships/webSettings" Target="webSettings.xml"/><Relationship Id="rId9" Type="http://schemas.openxmlformats.org/officeDocument/2006/relationships/hyperlink" Target="http://www.thomassci.com/Supplies/Pipets/_/Plasteur-Plastic-Pasteur-Pipets/" TargetMode="External"/><Relationship Id="rId14" Type="http://schemas.openxmlformats.org/officeDocument/2006/relationships/hyperlink" Target="https://www.ehs.uci.edu/programs/biosafety/Biosafety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 Subba</dc:creator>
  <cp:lastModifiedBy>Medalyn Supnet</cp:lastModifiedBy>
  <cp:revision>46</cp:revision>
  <cp:lastPrinted>2014-07-08T15:40:00Z</cp:lastPrinted>
  <dcterms:created xsi:type="dcterms:W3CDTF">2019-05-13T21:08:00Z</dcterms:created>
  <dcterms:modified xsi:type="dcterms:W3CDTF">2019-05-17T23:42:00Z</dcterms:modified>
</cp:coreProperties>
</file>